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6E40B015" w:rsidR="00C00E40" w:rsidRPr="002E7000" w:rsidRDefault="00C00E40" w:rsidP="00C00E40">
      <w:pPr>
        <w:pStyle w:val="Header"/>
        <w:rPr>
          <w:rFonts w:cs="Arial"/>
          <w:sz w:val="24"/>
          <w:szCs w:val="24"/>
          <w:lang w:val="de-DE"/>
        </w:rPr>
      </w:pPr>
      <w:r w:rsidRPr="002E7000">
        <w:rPr>
          <w:rFonts w:cs="Arial"/>
          <w:sz w:val="24"/>
          <w:szCs w:val="24"/>
          <w:lang w:val="de-DE"/>
        </w:rPr>
        <w:t xml:space="preserve">3GPP </w:t>
      </w:r>
      <w:bookmarkStart w:id="0" w:name="_Hlk503780345"/>
      <w:r w:rsidR="00701324" w:rsidRPr="002E7000">
        <w:rPr>
          <w:rFonts w:cs="Arial"/>
          <w:sz w:val="24"/>
          <w:szCs w:val="24"/>
          <w:lang w:val="de-DE"/>
        </w:rPr>
        <w:t>TSG-RAN4  #</w:t>
      </w:r>
      <w:r w:rsidR="00802B28" w:rsidRPr="002E7000">
        <w:rPr>
          <w:rFonts w:cs="Arial"/>
          <w:sz w:val="24"/>
          <w:szCs w:val="24"/>
          <w:lang w:val="de-DE"/>
        </w:rPr>
        <w:t>9</w:t>
      </w:r>
      <w:r w:rsidR="00B71894" w:rsidRPr="002E7000">
        <w:rPr>
          <w:rFonts w:cs="Arial"/>
          <w:sz w:val="24"/>
          <w:szCs w:val="24"/>
          <w:lang w:val="de-DE"/>
        </w:rPr>
        <w:t>2</w:t>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Pr="002E7000">
        <w:rPr>
          <w:rFonts w:cs="Arial"/>
          <w:sz w:val="24"/>
          <w:szCs w:val="24"/>
          <w:lang w:val="de-DE"/>
        </w:rPr>
        <w:tab/>
      </w:r>
      <w:r w:rsidR="00701324" w:rsidRPr="002E7000">
        <w:rPr>
          <w:rFonts w:cs="Arial"/>
          <w:sz w:val="24"/>
          <w:szCs w:val="24"/>
          <w:lang w:val="de-DE"/>
        </w:rPr>
        <w:t xml:space="preserve">     </w:t>
      </w:r>
      <w:r w:rsidRPr="002E7000">
        <w:rPr>
          <w:rFonts w:cs="Arial"/>
          <w:sz w:val="24"/>
          <w:szCs w:val="24"/>
          <w:lang w:val="de-DE"/>
        </w:rPr>
        <w:tab/>
      </w:r>
      <w:r w:rsidR="00AA6AC9" w:rsidRPr="002E7000">
        <w:rPr>
          <w:rFonts w:cs="Arial"/>
          <w:sz w:val="24"/>
          <w:szCs w:val="24"/>
          <w:lang w:val="de-DE"/>
        </w:rPr>
        <w:t>R4-1908506</w:t>
      </w:r>
    </w:p>
    <w:bookmarkEnd w:id="0"/>
    <w:p w14:paraId="77E3419A" w14:textId="1C02DA59" w:rsidR="0080445A" w:rsidRPr="002E7000" w:rsidRDefault="00B71894" w:rsidP="00C00E40">
      <w:pPr>
        <w:pStyle w:val="Header"/>
        <w:rPr>
          <w:rFonts w:cs="Arial"/>
          <w:sz w:val="24"/>
          <w:szCs w:val="24"/>
          <w:lang w:val="de-DE"/>
        </w:rPr>
      </w:pPr>
      <w:r w:rsidRPr="002E7000">
        <w:rPr>
          <w:rFonts w:cs="Arial"/>
          <w:sz w:val="24"/>
          <w:szCs w:val="24"/>
          <w:lang w:val="de-DE"/>
        </w:rPr>
        <w:t>Ljubljana</w:t>
      </w:r>
      <w:r w:rsidR="00701324" w:rsidRPr="002E7000">
        <w:rPr>
          <w:rFonts w:cs="Arial"/>
          <w:sz w:val="24"/>
          <w:szCs w:val="24"/>
          <w:lang w:val="de-DE"/>
        </w:rPr>
        <w:t xml:space="preserve">, </w:t>
      </w:r>
      <w:r w:rsidR="002F4DE5" w:rsidRPr="002E7000">
        <w:rPr>
          <w:rFonts w:cs="Arial"/>
          <w:sz w:val="24"/>
          <w:szCs w:val="24"/>
          <w:lang w:val="de-DE"/>
        </w:rPr>
        <w:t>Slovan</w:t>
      </w:r>
      <w:r w:rsidRPr="002E7000">
        <w:rPr>
          <w:rFonts w:cs="Arial"/>
          <w:sz w:val="24"/>
          <w:szCs w:val="24"/>
          <w:lang w:val="de-DE"/>
        </w:rPr>
        <w:t>ia</w:t>
      </w:r>
      <w:r w:rsidR="00701324" w:rsidRPr="002E7000">
        <w:rPr>
          <w:rFonts w:cs="Arial"/>
          <w:sz w:val="24"/>
          <w:szCs w:val="24"/>
          <w:lang w:val="de-DE"/>
        </w:rPr>
        <w:t xml:space="preserve">, </w:t>
      </w:r>
      <w:r w:rsidR="00802B28" w:rsidRPr="002E7000">
        <w:rPr>
          <w:rFonts w:cs="Arial"/>
          <w:sz w:val="24"/>
          <w:szCs w:val="24"/>
          <w:lang w:val="de-DE"/>
        </w:rPr>
        <w:t>2</w:t>
      </w:r>
      <w:r w:rsidRPr="002E7000">
        <w:rPr>
          <w:rFonts w:cs="Arial"/>
          <w:sz w:val="24"/>
          <w:szCs w:val="24"/>
          <w:lang w:val="de-DE"/>
        </w:rPr>
        <w:t>6</w:t>
      </w:r>
      <w:r w:rsidR="00802B28" w:rsidRPr="002E7000">
        <w:rPr>
          <w:rFonts w:cs="Arial"/>
          <w:sz w:val="24"/>
          <w:szCs w:val="24"/>
          <w:lang w:val="de-DE"/>
        </w:rPr>
        <w:t>th</w:t>
      </w:r>
      <w:r w:rsidRPr="002E7000">
        <w:rPr>
          <w:rFonts w:cs="Arial"/>
          <w:sz w:val="24"/>
          <w:szCs w:val="24"/>
          <w:lang w:val="de-DE"/>
        </w:rPr>
        <w:t xml:space="preserve"> </w:t>
      </w:r>
      <w:r w:rsidR="00802B28" w:rsidRPr="002E7000">
        <w:rPr>
          <w:rFonts w:cs="Arial"/>
          <w:sz w:val="24"/>
          <w:szCs w:val="24"/>
          <w:lang w:val="de-DE"/>
        </w:rPr>
        <w:t>-</w:t>
      </w:r>
      <w:r w:rsidRPr="002E7000">
        <w:rPr>
          <w:rFonts w:cs="Arial"/>
          <w:sz w:val="24"/>
          <w:szCs w:val="24"/>
          <w:lang w:val="de-DE"/>
        </w:rPr>
        <w:t xml:space="preserve"> 30th</w:t>
      </w:r>
      <w:r w:rsidR="00E000AB" w:rsidRPr="002E7000">
        <w:rPr>
          <w:rFonts w:cs="Arial"/>
          <w:sz w:val="24"/>
          <w:szCs w:val="24"/>
          <w:lang w:val="de-DE"/>
        </w:rPr>
        <w:t xml:space="preserve"> </w:t>
      </w:r>
      <w:r w:rsidRPr="002E7000">
        <w:rPr>
          <w:rFonts w:cs="Arial"/>
          <w:sz w:val="24"/>
          <w:szCs w:val="24"/>
          <w:lang w:val="de-DE"/>
        </w:rPr>
        <w:t>Aug</w:t>
      </w:r>
      <w:r w:rsidR="00701324" w:rsidRPr="002E7000">
        <w:rPr>
          <w:rFonts w:cs="Arial"/>
          <w:sz w:val="24"/>
          <w:szCs w:val="24"/>
          <w:lang w:val="de-DE"/>
        </w:rPr>
        <w:t xml:space="preserve"> 201</w:t>
      </w:r>
      <w:r w:rsidR="00802B28" w:rsidRPr="002E7000">
        <w:rPr>
          <w:rFonts w:cs="Arial"/>
          <w:sz w:val="24"/>
          <w:szCs w:val="24"/>
          <w:lang w:val="de-DE"/>
        </w:rPr>
        <w:t>9</w:t>
      </w:r>
    </w:p>
    <w:p w14:paraId="6458B0EC" w14:textId="77777777" w:rsidR="00C00E40" w:rsidRPr="002E7000" w:rsidRDefault="00C00E40" w:rsidP="00C00E40">
      <w:pPr>
        <w:pStyle w:val="Header"/>
        <w:rPr>
          <w:b w:val="0"/>
          <w:sz w:val="24"/>
        </w:rPr>
      </w:pPr>
    </w:p>
    <w:p w14:paraId="398830DD" w14:textId="77777777" w:rsidR="00DB3907" w:rsidRPr="002E7000" w:rsidRDefault="00DB3907" w:rsidP="00DB3907">
      <w:pPr>
        <w:tabs>
          <w:tab w:val="left" w:pos="1985"/>
        </w:tabs>
        <w:rPr>
          <w:rFonts w:ascii="Arial" w:hAnsi="Arial"/>
          <w:sz w:val="24"/>
          <w:lang w:val="en-US"/>
        </w:rPr>
      </w:pPr>
      <w:r w:rsidRPr="002E7000">
        <w:rPr>
          <w:rFonts w:ascii="Arial" w:hAnsi="Arial"/>
          <w:b/>
          <w:sz w:val="24"/>
          <w:lang w:val="en-US"/>
        </w:rPr>
        <w:t xml:space="preserve">Source: </w:t>
      </w:r>
      <w:r w:rsidRPr="002E7000">
        <w:rPr>
          <w:rFonts w:ascii="Arial" w:hAnsi="Arial"/>
          <w:b/>
          <w:sz w:val="24"/>
          <w:lang w:val="en-US"/>
        </w:rPr>
        <w:tab/>
      </w:r>
      <w:r w:rsidRPr="002E7000">
        <w:rPr>
          <w:rFonts w:ascii="Arial" w:hAnsi="Arial"/>
          <w:sz w:val="24"/>
          <w:lang w:val="en-US"/>
        </w:rPr>
        <w:t>Qualcomm Incorporated</w:t>
      </w:r>
    </w:p>
    <w:p w14:paraId="38C7740A" w14:textId="7FDEA68A" w:rsidR="00B45A3A" w:rsidRPr="002E7000" w:rsidRDefault="00DB3907" w:rsidP="00B45A3A">
      <w:pPr>
        <w:tabs>
          <w:tab w:val="left" w:pos="1985"/>
        </w:tabs>
        <w:ind w:left="1980" w:hanging="1980"/>
        <w:rPr>
          <w:rFonts w:ascii="Arial" w:hAnsi="Arial" w:cs="Arial"/>
          <w:sz w:val="24"/>
          <w:szCs w:val="24"/>
          <w:lang w:val="en-US"/>
        </w:rPr>
      </w:pPr>
      <w:r w:rsidRPr="002E7000">
        <w:rPr>
          <w:rFonts w:ascii="Arial" w:hAnsi="Arial"/>
          <w:b/>
          <w:sz w:val="24"/>
          <w:lang w:val="en-US"/>
        </w:rPr>
        <w:t>Title:</w:t>
      </w:r>
      <w:r w:rsidRPr="002E7000">
        <w:rPr>
          <w:rFonts w:ascii="Arial" w:hAnsi="Arial"/>
          <w:sz w:val="24"/>
          <w:lang w:val="en-US"/>
        </w:rPr>
        <w:t xml:space="preserve"> </w:t>
      </w:r>
      <w:r w:rsidRPr="002E7000">
        <w:rPr>
          <w:rFonts w:ascii="Arial" w:hAnsi="Arial"/>
          <w:sz w:val="24"/>
          <w:lang w:val="en-US"/>
        </w:rPr>
        <w:tab/>
      </w:r>
      <w:r w:rsidR="00A97A99" w:rsidRPr="002E7000">
        <w:rPr>
          <w:rFonts w:ascii="Arial" w:hAnsi="Arial"/>
          <w:sz w:val="24"/>
          <w:lang w:val="en-US"/>
        </w:rPr>
        <w:t xml:space="preserve">On Enabling </w:t>
      </w:r>
      <w:r w:rsidR="00B71894" w:rsidRPr="002E7000">
        <w:rPr>
          <w:rFonts w:ascii="Arial" w:hAnsi="Arial"/>
          <w:sz w:val="24"/>
          <w:lang w:val="en-US"/>
        </w:rPr>
        <w:t>Full TX UL Power</w:t>
      </w:r>
    </w:p>
    <w:p w14:paraId="0AA689DE" w14:textId="77777777" w:rsidR="003123AE" w:rsidRPr="002E7000" w:rsidRDefault="00040DD3" w:rsidP="002D5209">
      <w:pPr>
        <w:tabs>
          <w:tab w:val="left" w:pos="1985"/>
        </w:tabs>
        <w:ind w:left="1980" w:hanging="1980"/>
        <w:rPr>
          <w:rFonts w:ascii="Arial" w:hAnsi="Arial"/>
          <w:sz w:val="24"/>
          <w:lang w:val="en-US"/>
        </w:rPr>
      </w:pPr>
      <w:r w:rsidRPr="002E7000">
        <w:rPr>
          <w:rFonts w:ascii="Arial" w:hAnsi="Arial"/>
          <w:b/>
          <w:sz w:val="24"/>
          <w:lang w:val="en-US"/>
        </w:rPr>
        <w:t>Agenda item:</w:t>
      </w:r>
      <w:r w:rsidR="000D7B61" w:rsidRPr="002E7000">
        <w:rPr>
          <w:rFonts w:ascii="Arial" w:hAnsi="Arial"/>
          <w:sz w:val="24"/>
          <w:lang w:val="en-US"/>
        </w:rPr>
        <w:tab/>
      </w:r>
      <w:r w:rsidR="003123AE" w:rsidRPr="002E7000">
        <w:rPr>
          <w:rFonts w:ascii="Arial" w:hAnsi="Arial"/>
          <w:sz w:val="24"/>
          <w:lang w:val="en-US"/>
        </w:rPr>
        <w:t xml:space="preserve">7.5.4.5 </w:t>
      </w:r>
    </w:p>
    <w:p w14:paraId="6FE0B29D" w14:textId="127E198A" w:rsidR="00DB3907" w:rsidRPr="002E7000" w:rsidRDefault="00DB3907" w:rsidP="002D5209">
      <w:pPr>
        <w:tabs>
          <w:tab w:val="left" w:pos="1985"/>
        </w:tabs>
        <w:ind w:left="1980" w:hanging="1980"/>
        <w:rPr>
          <w:rFonts w:ascii="Arial" w:hAnsi="Arial" w:cs="Arial"/>
          <w:sz w:val="24"/>
          <w:szCs w:val="24"/>
          <w:lang w:val="en-US"/>
        </w:rPr>
      </w:pPr>
      <w:r w:rsidRPr="002E7000">
        <w:rPr>
          <w:rFonts w:ascii="Arial" w:hAnsi="Arial"/>
          <w:b/>
          <w:sz w:val="24"/>
          <w:lang w:val="en-US"/>
        </w:rPr>
        <w:t>Document for:</w:t>
      </w:r>
      <w:r w:rsidR="00FF76CE" w:rsidRPr="002E7000">
        <w:rPr>
          <w:rFonts w:ascii="Arial" w:hAnsi="Arial"/>
          <w:sz w:val="24"/>
          <w:lang w:val="en-US"/>
        </w:rPr>
        <w:tab/>
      </w:r>
      <w:r w:rsidR="00B71894" w:rsidRPr="002E7000">
        <w:rPr>
          <w:rFonts w:ascii="Arial" w:hAnsi="Arial"/>
          <w:sz w:val="24"/>
          <w:lang w:val="en-US"/>
        </w:rPr>
        <w:t>Discussion</w:t>
      </w:r>
    </w:p>
    <w:p w14:paraId="1A311478" w14:textId="77777777" w:rsidR="00ED7522" w:rsidRPr="002E7000" w:rsidRDefault="000E0602" w:rsidP="006866E3">
      <w:pPr>
        <w:pStyle w:val="Heading1"/>
        <w:tabs>
          <w:tab w:val="clear" w:pos="432"/>
          <w:tab w:val="num" w:pos="522"/>
        </w:tabs>
        <w:ind w:left="522" w:hanging="522"/>
        <w:rPr>
          <w:lang w:val="en-US"/>
        </w:rPr>
      </w:pPr>
      <w:r w:rsidRPr="002E7000">
        <w:rPr>
          <w:lang w:val="en-US"/>
        </w:rPr>
        <w:t>Introduction</w:t>
      </w:r>
    </w:p>
    <w:p w14:paraId="67EAF491" w14:textId="5791CBEC" w:rsidR="0080445A" w:rsidRPr="002E7000" w:rsidRDefault="00EC56A9" w:rsidP="0080445A">
      <w:pPr>
        <w:rPr>
          <w:color w:val="D0CECE" w:themeColor="background2" w:themeShade="E6"/>
        </w:rPr>
      </w:pPr>
      <w:r w:rsidRPr="002E7000">
        <w:t>Over the past several meetings there have been many papers presented</w:t>
      </w:r>
      <w:r w:rsidR="001838D5" w:rsidRPr="002E7000">
        <w:t xml:space="preserve"> in RAN1 and RAN4</w:t>
      </w:r>
      <w:r w:rsidRPr="002E7000">
        <w:t xml:space="preserve"> on enabling simultaneous UL transmission from multiple TX chains </w:t>
      </w:r>
      <w:r w:rsidR="001B62C4" w:rsidRPr="002E7000">
        <w:t>to</w:t>
      </w:r>
      <w:r w:rsidRPr="002E7000">
        <w:t xml:space="preserve"> boost the overall UE transmit power.  This paper presents reasons for enabling such scheme</w:t>
      </w:r>
      <w:r w:rsidR="004F26E5" w:rsidRPr="002E7000">
        <w:t>s</w:t>
      </w:r>
      <w:r w:rsidRPr="002E7000">
        <w:t xml:space="preserve">, the current agreements in place to </w:t>
      </w:r>
      <w:r w:rsidR="00FE31F5" w:rsidRPr="002E7000">
        <w:t xml:space="preserve">configure multi-TX systems, </w:t>
      </w:r>
      <w:r w:rsidR="00D434AC" w:rsidRPr="002E7000">
        <w:t xml:space="preserve">agreed measurement methods to evaluate </w:t>
      </w:r>
      <w:r w:rsidR="00FE31F5" w:rsidRPr="002E7000">
        <w:t>multi-TX performance</w:t>
      </w:r>
      <w:r w:rsidR="00D434AC" w:rsidRPr="002E7000">
        <w:t xml:space="preserve"> and</w:t>
      </w:r>
      <w:r w:rsidR="004F26E5" w:rsidRPr="002E7000">
        <w:t xml:space="preserve"> possible </w:t>
      </w:r>
      <w:r w:rsidR="00FE31F5" w:rsidRPr="002E7000">
        <w:t>use</w:t>
      </w:r>
      <w:r w:rsidR="004F26E5" w:rsidRPr="002E7000">
        <w:t xml:space="preserve"> of these schemes for enabling</w:t>
      </w:r>
      <w:r w:rsidR="00D434AC" w:rsidRPr="002E7000">
        <w:t xml:space="preserve"> multi-port transmission.</w:t>
      </w:r>
    </w:p>
    <w:p w14:paraId="046266D4" w14:textId="77777777" w:rsidR="00B12FF0" w:rsidRPr="002E7000" w:rsidRDefault="006866E3" w:rsidP="00B12FF0">
      <w:pPr>
        <w:pStyle w:val="Heading1"/>
        <w:rPr>
          <w:lang w:val="en-US"/>
        </w:rPr>
      </w:pPr>
      <w:r w:rsidRPr="002E7000">
        <w:rPr>
          <w:lang w:val="en-US"/>
        </w:rPr>
        <w:t>Discussion</w:t>
      </w:r>
    </w:p>
    <w:p w14:paraId="63477403" w14:textId="7D7332D1" w:rsidR="00B12FF0" w:rsidRPr="002E7000" w:rsidRDefault="00B12FF0" w:rsidP="00B12FF0">
      <w:pPr>
        <w:pStyle w:val="Heading2"/>
        <w:rPr>
          <w:lang w:val="en-US"/>
        </w:rPr>
      </w:pPr>
      <w:r w:rsidRPr="002E7000">
        <w:rPr>
          <w:lang w:val="en-US"/>
        </w:rPr>
        <w:t>Reasons for enabling full power UL transmission</w:t>
      </w:r>
    </w:p>
    <w:p w14:paraId="5AD61FE3" w14:textId="4E5FB099" w:rsidR="00B12FF0" w:rsidRPr="002E7000" w:rsidRDefault="00B12FF0" w:rsidP="00B12FF0">
      <w:pPr>
        <w:rPr>
          <w:lang w:val="en-US"/>
        </w:rPr>
      </w:pPr>
      <w:r w:rsidRPr="002E7000">
        <w:rPr>
          <w:lang w:val="en-US"/>
        </w:rPr>
        <w:t>In release 15 of TS38.212 table 6.3.1.5-1 gives the TPMI matrix for single-layer transmission for UEs with two antenna ports:</w:t>
      </w:r>
    </w:p>
    <w:p w14:paraId="7905F424" w14:textId="50A16600" w:rsidR="00B12FF0" w:rsidRPr="002E7000" w:rsidRDefault="00BC1382" w:rsidP="00BC1382">
      <w:pPr>
        <w:jc w:val="center"/>
        <w:rPr>
          <w:lang w:val="en-US"/>
        </w:rPr>
      </w:pPr>
      <w:r w:rsidRPr="002E7000">
        <w:rPr>
          <w:noProof/>
        </w:rPr>
        <w:drawing>
          <wp:inline distT="0" distB="0" distL="0" distR="0" wp14:anchorId="5AD2E13E" wp14:editId="67180028">
            <wp:extent cx="5429250" cy="704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29250" cy="704850"/>
                    </a:xfrm>
                    <a:prstGeom prst="rect">
                      <a:avLst/>
                    </a:prstGeom>
                  </pic:spPr>
                </pic:pic>
              </a:graphicData>
            </a:graphic>
          </wp:inline>
        </w:drawing>
      </w:r>
    </w:p>
    <w:p w14:paraId="3374DEF2" w14:textId="3B8BA15C" w:rsidR="00BC1382" w:rsidRPr="002E7000" w:rsidRDefault="00BC1382" w:rsidP="00BC1382">
      <w:pPr>
        <w:jc w:val="center"/>
        <w:rPr>
          <w:lang w:val="en-US"/>
        </w:rPr>
      </w:pPr>
      <w:r w:rsidRPr="002E7000">
        <w:rPr>
          <w:lang w:val="en-US"/>
        </w:rPr>
        <w:t>Table 1 – Precoding matrix for single-layer transmission using 2 antenna ports</w:t>
      </w:r>
    </w:p>
    <w:p w14:paraId="44390199" w14:textId="3F1AF90B" w:rsidR="00B12FF0" w:rsidRPr="002E7000" w:rsidRDefault="00B12FF0" w:rsidP="00B12FF0">
      <w:pPr>
        <w:rPr>
          <w:lang w:val="en-US"/>
        </w:rPr>
      </w:pPr>
      <w:r w:rsidRPr="002E7000">
        <w:rPr>
          <w:lang w:val="en-US"/>
        </w:rPr>
        <w:t>Non-coherent or partially/non-coherent UEs are restricted to using only TPMI indices 0</w:t>
      </w:r>
      <w:r w:rsidR="00084888" w:rsidRPr="002E7000">
        <w:rPr>
          <w:lang w:val="en-US"/>
        </w:rPr>
        <w:t xml:space="preserve"> </w:t>
      </w:r>
      <w:r w:rsidRPr="002E7000">
        <w:rPr>
          <w:lang w:val="en-US"/>
        </w:rPr>
        <w:t>and 1</w:t>
      </w:r>
      <w:r w:rsidR="008D7EAB" w:rsidRPr="002E7000">
        <w:rPr>
          <w:lang w:val="en-US"/>
        </w:rPr>
        <w:t xml:space="preserve"> highlighted in the above table. The remaining indices can only be used by coherent UEs. Power scaling rules outlined in section 7.1 of TS38.213 requires that the UL transmit power be scaled by the ratio of the non-zero PUSCH ports to the total configured ports. </w:t>
      </w:r>
      <w:r w:rsidR="00923DB7" w:rsidRPr="002E7000">
        <w:rPr>
          <w:lang w:val="en-US"/>
        </w:rPr>
        <w:t>Therefore,</w:t>
      </w:r>
      <w:r w:rsidR="008D7EAB" w:rsidRPr="002E7000">
        <w:rPr>
          <w:lang w:val="en-US"/>
        </w:rPr>
        <w:t xml:space="preserve"> for TMPI indices</w:t>
      </w:r>
      <w:r w:rsidR="008A3139" w:rsidRPr="002E7000">
        <w:rPr>
          <w:lang w:val="en-US"/>
        </w:rPr>
        <w:t xml:space="preserve">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d>
      </m:oMath>
      <w:r w:rsidR="00434F06" w:rsidRPr="002E7000">
        <w:t xml:space="preserve">     or    </w:t>
      </w:r>
      <m:oMath>
        <m:f>
          <m:fPr>
            <m:ctrlPr>
              <w:rPr>
                <w:rFonts w:ascii="Cambria Math" w:hAnsi="Cambria Math"/>
                <w:i/>
              </w:rPr>
            </m:ctrlPr>
          </m:fPr>
          <m:num>
            <m:r>
              <w:rPr>
                <w:rFonts w:ascii="Cambria Math" w:hAnsi="Cambria Math"/>
              </w:rPr>
              <m:t xml:space="preserve">  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d>
      </m:oMath>
      <w:r w:rsidR="008D7EAB" w:rsidRPr="002E7000">
        <w:rPr>
          <w:lang w:val="en-US"/>
        </w:rPr>
        <w:t xml:space="preserve"> the power scaling factor is 0.5 meaning that the UL power is backed-off by 3dB of the total transmit power per TX chain. </w:t>
      </w:r>
      <w:r w:rsidR="00533DA9" w:rsidRPr="002E7000">
        <w:rPr>
          <w:lang w:val="en-US"/>
        </w:rPr>
        <w:t xml:space="preserve">For example, </w:t>
      </w:r>
      <w:r w:rsidR="008D7EAB" w:rsidRPr="002E7000">
        <w:rPr>
          <w:lang w:val="en-US"/>
        </w:rPr>
        <w:t xml:space="preserve">a TX chain having a maximum output power of 23dBm </w:t>
      </w:r>
      <w:r w:rsidR="008A3139" w:rsidRPr="002E7000">
        <w:rPr>
          <w:lang w:val="en-US"/>
        </w:rPr>
        <w:t>can</w:t>
      </w:r>
      <w:r w:rsidR="008D7EAB" w:rsidRPr="002E7000">
        <w:rPr>
          <w:lang w:val="en-US"/>
        </w:rPr>
        <w:t xml:space="preserve"> transmit a maximum of 20dBm </w:t>
      </w:r>
      <w:r w:rsidR="008A3139" w:rsidRPr="002E7000">
        <w:rPr>
          <w:lang w:val="en-US"/>
        </w:rPr>
        <w:t>with</w:t>
      </w:r>
      <w:r w:rsidR="008D7EAB" w:rsidRPr="002E7000">
        <w:rPr>
          <w:lang w:val="en-US"/>
        </w:rPr>
        <w:t xml:space="preserve"> these TMPI configurations. </w:t>
      </w:r>
    </w:p>
    <w:p w14:paraId="70039C76" w14:textId="77777777" w:rsidR="008844D1" w:rsidRPr="002E7000" w:rsidRDefault="008844D1" w:rsidP="00B12FF0">
      <w:pPr>
        <w:rPr>
          <w:lang w:val="en-US"/>
        </w:rPr>
      </w:pPr>
    </w:p>
    <w:p w14:paraId="0581DC6F" w14:textId="2AC9FC11" w:rsidR="00533DA9" w:rsidRPr="002E7000" w:rsidRDefault="007A726A" w:rsidP="00B12FF0">
      <w:pPr>
        <w:pStyle w:val="Heading2"/>
        <w:rPr>
          <w:lang w:val="en-US"/>
        </w:rPr>
      </w:pPr>
      <w:r w:rsidRPr="002E7000">
        <w:rPr>
          <w:lang w:val="en-US"/>
        </w:rPr>
        <w:t>Methods for</w:t>
      </w:r>
      <w:r w:rsidR="00533DA9" w:rsidRPr="002E7000">
        <w:rPr>
          <w:lang w:val="en-US"/>
        </w:rPr>
        <w:t xml:space="preserve"> enabling full power UL transmission</w:t>
      </w:r>
      <w:r w:rsidR="008A4C87" w:rsidRPr="002E7000">
        <w:rPr>
          <w:lang w:val="en-US"/>
        </w:rPr>
        <w:t xml:space="preserve"> and </w:t>
      </w:r>
      <w:r w:rsidRPr="002E7000">
        <w:rPr>
          <w:lang w:val="en-US"/>
        </w:rPr>
        <w:t>metrics for measuring multi-antenna UE performance</w:t>
      </w:r>
    </w:p>
    <w:p w14:paraId="1CDEC735" w14:textId="71F048EA" w:rsidR="008844D1" w:rsidRPr="002E7000" w:rsidRDefault="00C8679C" w:rsidP="008844D1">
      <w:pPr>
        <w:rPr>
          <w:lang w:val="en-US"/>
        </w:rPr>
      </w:pPr>
      <w:r w:rsidRPr="002E7000">
        <w:rPr>
          <w:lang w:val="en-US"/>
        </w:rPr>
        <w:t>To</w:t>
      </w:r>
      <w:r w:rsidR="008844D1" w:rsidRPr="002E7000">
        <w:rPr>
          <w:lang w:val="en-US"/>
        </w:rPr>
        <w:t xml:space="preserve"> </w:t>
      </w:r>
      <w:r w:rsidR="005F3FA5" w:rsidRPr="002E7000">
        <w:rPr>
          <w:lang w:val="en-US"/>
        </w:rPr>
        <w:t xml:space="preserve">lend greater clarity to this issue RAN1 defined 3 </w:t>
      </w:r>
      <w:r w:rsidR="00470A37" w:rsidRPr="002E7000">
        <w:rPr>
          <w:lang w:val="en-US"/>
        </w:rPr>
        <w:t xml:space="preserve">capabilities for full TX power </w:t>
      </w:r>
      <w:r w:rsidR="005F3FA5" w:rsidRPr="002E7000">
        <w:rPr>
          <w:lang w:val="en-US"/>
        </w:rPr>
        <w:t xml:space="preserve">UL transmission for non-coherent and partial/non-coherent </w:t>
      </w:r>
      <w:r w:rsidR="00AE0D9F" w:rsidRPr="002E7000">
        <w:rPr>
          <w:lang w:val="en-US"/>
        </w:rPr>
        <w:t xml:space="preserve">UEs [1] </w:t>
      </w:r>
      <w:r w:rsidR="00470A37" w:rsidRPr="002E7000">
        <w:rPr>
          <w:lang w:val="en-US"/>
        </w:rPr>
        <w:t>These capabilities are listed below:</w:t>
      </w:r>
    </w:p>
    <w:p w14:paraId="3B3537D2" w14:textId="77777777" w:rsidR="00470A37" w:rsidRPr="002E7000" w:rsidRDefault="00470A37" w:rsidP="00470A37">
      <w:pPr>
        <w:numPr>
          <w:ilvl w:val="0"/>
          <w:numId w:val="36"/>
        </w:numPr>
        <w:spacing w:after="0"/>
        <w:rPr>
          <w:i/>
          <w:sz w:val="24"/>
        </w:rPr>
      </w:pPr>
      <w:r w:rsidRPr="002E7000">
        <w:rPr>
          <w:i/>
          <w:sz w:val="24"/>
        </w:rPr>
        <w:t xml:space="preserve">UE capability 1: for the UE to support full Tx power in UL transmission, full rated PAs on each Tx chain is supported with a new UE capability. </w:t>
      </w:r>
    </w:p>
    <w:p w14:paraId="17239978" w14:textId="31E725A6" w:rsidR="00470A37" w:rsidRPr="002E7000" w:rsidRDefault="00470A37" w:rsidP="00470A37">
      <w:pPr>
        <w:numPr>
          <w:ilvl w:val="0"/>
          <w:numId w:val="36"/>
        </w:numPr>
        <w:spacing w:after="0"/>
        <w:rPr>
          <w:i/>
          <w:sz w:val="24"/>
        </w:rPr>
      </w:pPr>
      <w:r w:rsidRPr="002E7000">
        <w:rPr>
          <w:i/>
          <w:sz w:val="24"/>
        </w:rPr>
        <w:t xml:space="preserve">UE capability 2: for the UE to support full Tx power in UL transmission, no Tx chain is assumed to deliver full power with the new UE capability </w:t>
      </w:r>
    </w:p>
    <w:p w14:paraId="001928A9" w14:textId="77777777" w:rsidR="00470A37" w:rsidRPr="002E7000" w:rsidRDefault="00470A37" w:rsidP="00470A37">
      <w:pPr>
        <w:numPr>
          <w:ilvl w:val="0"/>
          <w:numId w:val="36"/>
        </w:numPr>
        <w:spacing w:after="0"/>
        <w:rPr>
          <w:i/>
          <w:sz w:val="24"/>
        </w:rPr>
      </w:pPr>
      <w:r w:rsidRPr="002E7000">
        <w:rPr>
          <w:rFonts w:hint="eastAsia"/>
          <w:i/>
          <w:sz w:val="24"/>
        </w:rPr>
        <w:t>UE capability 3:</w:t>
      </w:r>
      <w:r w:rsidRPr="002E7000">
        <w:rPr>
          <w:i/>
          <w:sz w:val="24"/>
        </w:rPr>
        <w:t xml:space="preserve"> for the UE to support full Tx power in UL transmission, subset of Tx chains with full rated PAs is supported with a new UE capability.</w:t>
      </w:r>
    </w:p>
    <w:p w14:paraId="0B9C23E1" w14:textId="77777777" w:rsidR="00470A37" w:rsidRPr="002E7000" w:rsidRDefault="00470A37" w:rsidP="00470A37">
      <w:pPr>
        <w:spacing w:after="0"/>
        <w:ind w:left="360"/>
        <w:rPr>
          <w:i/>
          <w:sz w:val="24"/>
        </w:rPr>
      </w:pPr>
    </w:p>
    <w:p w14:paraId="0A9095F9" w14:textId="57D21DDF" w:rsidR="004A4369" w:rsidRPr="002E7000" w:rsidRDefault="00B23A35" w:rsidP="00A104DA">
      <w:r w:rsidRPr="002E7000">
        <w:t>One</w:t>
      </w:r>
      <w:r w:rsidR="00A73833" w:rsidRPr="002E7000">
        <w:t xml:space="preserve"> method of </w:t>
      </w:r>
      <w:r w:rsidR="000752FB" w:rsidRPr="002E7000">
        <w:t>realiz</w:t>
      </w:r>
      <w:r w:rsidR="004A4369" w:rsidRPr="002E7000">
        <w:t xml:space="preserve">ing </w:t>
      </w:r>
      <w:r w:rsidR="00533DA9" w:rsidRPr="002E7000">
        <w:t>higher</w:t>
      </w:r>
      <w:r w:rsidR="004A4369" w:rsidRPr="002E7000">
        <w:t xml:space="preserve"> </w:t>
      </w:r>
      <w:r w:rsidR="000752FB" w:rsidRPr="002E7000">
        <w:t>output power</w:t>
      </w:r>
      <w:r w:rsidR="004A4369" w:rsidRPr="002E7000">
        <w:t xml:space="preserve"> from </w:t>
      </w:r>
      <w:r w:rsidR="00A73833" w:rsidRPr="002E7000">
        <w:t xml:space="preserve">a </w:t>
      </w:r>
      <w:r w:rsidR="00CD0A5A" w:rsidRPr="002E7000">
        <w:t>single data</w:t>
      </w:r>
      <w:r w:rsidR="004A4369" w:rsidRPr="002E7000">
        <w:t xml:space="preserve"> </w:t>
      </w:r>
      <w:r w:rsidR="00A73833" w:rsidRPr="002E7000">
        <w:t>stream</w:t>
      </w:r>
      <w:r w:rsidR="004A4369" w:rsidRPr="002E7000">
        <w:t xml:space="preserve"> </w:t>
      </w:r>
      <w:r w:rsidR="00A73833" w:rsidRPr="002E7000">
        <w:t xml:space="preserve">is </w:t>
      </w:r>
      <w:r w:rsidR="004A4369" w:rsidRPr="002E7000">
        <w:t>through</w:t>
      </w:r>
      <w:r w:rsidR="00A73833" w:rsidRPr="002E7000">
        <w:t xml:space="preserve"> antenna virtualization (AV)</w:t>
      </w:r>
      <w:r w:rsidR="001555A2" w:rsidRPr="002E7000">
        <w:t>,</w:t>
      </w:r>
      <w:r w:rsidR="004F53D8" w:rsidRPr="002E7000">
        <w:t xml:space="preserve"> </w:t>
      </w:r>
      <w:r w:rsidR="004A4369" w:rsidRPr="002E7000">
        <w:t>illustrated in Figure 1</w:t>
      </w:r>
      <w:r w:rsidR="00A73833" w:rsidRPr="002E7000">
        <w:t>.</w:t>
      </w:r>
      <w:r w:rsidR="004A4369" w:rsidRPr="002E7000">
        <w:t xml:space="preserve"> The data stream is </w:t>
      </w:r>
      <w:r w:rsidR="005B572F" w:rsidRPr="002E7000">
        <w:t>p</w:t>
      </w:r>
      <w:r w:rsidR="00E77957" w:rsidRPr="002E7000">
        <w:t>recoded</w:t>
      </w:r>
      <w:r w:rsidR="004A4369" w:rsidRPr="002E7000">
        <w:t xml:space="preserve"> </w:t>
      </w:r>
      <w:r w:rsidR="00383B7A" w:rsidRPr="002E7000">
        <w:t xml:space="preserve">and </w:t>
      </w:r>
      <w:r w:rsidR="00D90E4E" w:rsidRPr="002E7000">
        <w:t>then mapped</w:t>
      </w:r>
      <w:r w:rsidR="004A4369" w:rsidRPr="002E7000">
        <w:t xml:space="preserve"> to 2 physical antennae S</w:t>
      </w:r>
      <w:r w:rsidR="004A4369" w:rsidRPr="002E7000">
        <w:rPr>
          <w:vertAlign w:val="subscript"/>
        </w:rPr>
        <w:t>V1</w:t>
      </w:r>
      <w:r w:rsidR="004A4369" w:rsidRPr="002E7000">
        <w:t xml:space="preserve"> and S</w:t>
      </w:r>
      <w:r w:rsidR="004A4369" w:rsidRPr="002E7000">
        <w:rPr>
          <w:vertAlign w:val="subscript"/>
        </w:rPr>
        <w:t>V2</w:t>
      </w:r>
      <w:r w:rsidR="005B2A64" w:rsidRPr="002E7000">
        <w:rPr>
          <w:vertAlign w:val="subscript"/>
        </w:rPr>
        <w:t xml:space="preserve"> </w:t>
      </w:r>
      <w:r w:rsidR="000752FB" w:rsidRPr="002E7000">
        <w:t xml:space="preserve">with each </w:t>
      </w:r>
      <w:r w:rsidR="000752FB" w:rsidRPr="002E7000">
        <w:lastRenderedPageBreak/>
        <w:t xml:space="preserve">antenna port driven by a </w:t>
      </w:r>
      <w:r w:rsidR="00434F06" w:rsidRPr="002E7000">
        <w:t>lower power</w:t>
      </w:r>
      <w:r w:rsidR="000752FB" w:rsidRPr="002E7000">
        <w:t xml:space="preserve"> PA</w:t>
      </w:r>
      <w:r w:rsidR="004A4369" w:rsidRPr="002E7000">
        <w:t xml:space="preserve">. </w:t>
      </w:r>
      <w:r w:rsidR="00A73833" w:rsidRPr="002E7000">
        <w:t xml:space="preserve"> </w:t>
      </w:r>
      <w:r w:rsidR="00AB5CA6" w:rsidRPr="002E7000">
        <w:t xml:space="preserve">For a </w:t>
      </w:r>
      <w:r w:rsidR="0001169E" w:rsidRPr="002E7000">
        <w:t xml:space="preserve">single stream, the precoding </w:t>
      </w:r>
      <w:r w:rsidR="00B94D0A" w:rsidRPr="002E7000">
        <w:t>matrix specified</w:t>
      </w:r>
      <w:r w:rsidR="00A1479C" w:rsidRPr="002E7000">
        <w:t xml:space="preserve"> by the gNB </w:t>
      </w:r>
      <w:r w:rsidR="0086045B" w:rsidRPr="002E7000">
        <w:t xml:space="preserve">for 1-layer </w:t>
      </w:r>
      <w:r w:rsidR="00434F06" w:rsidRPr="002E7000">
        <w:t>2 antenna port operation</w:t>
      </w:r>
      <w:r w:rsidR="0086045B" w:rsidRPr="002E7000">
        <w:t xml:space="preserve"> </w:t>
      </w:r>
      <w:r w:rsidR="0001169E" w:rsidRPr="002E7000">
        <w:t xml:space="preserve">is either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d>
      </m:oMath>
      <w:r w:rsidR="0001169E" w:rsidRPr="002E7000">
        <w:t xml:space="preserve">     or    </w:t>
      </w:r>
      <m:oMath>
        <m:f>
          <m:fPr>
            <m:ctrlPr>
              <w:rPr>
                <w:rFonts w:ascii="Cambria Math" w:hAnsi="Cambria Math"/>
                <w:i/>
              </w:rPr>
            </m:ctrlPr>
          </m:fPr>
          <m:num>
            <m:r>
              <w:rPr>
                <w:rFonts w:ascii="Cambria Math" w:hAnsi="Cambria Math"/>
              </w:rPr>
              <m:t xml:space="preserve">  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d>
      </m:oMath>
      <w:r w:rsidR="0086045B" w:rsidRPr="002E7000">
        <w:t xml:space="preserve">. </w:t>
      </w:r>
      <w:r w:rsidR="0008685A" w:rsidRPr="002E7000">
        <w:t>T</w:t>
      </w:r>
      <w:r w:rsidR="0001169E" w:rsidRPr="002E7000">
        <w:t xml:space="preserve">he AV scheme </w:t>
      </w:r>
      <w:r w:rsidR="007345AE" w:rsidRPr="002E7000">
        <w:t>employed by the UE</w:t>
      </w:r>
      <w:r w:rsidR="0001169E" w:rsidRPr="002E7000">
        <w:t xml:space="preserve"> </w:t>
      </w:r>
      <w:r w:rsidR="0086045B" w:rsidRPr="002E7000">
        <w:t>maps a</w:t>
      </w:r>
      <w:r w:rsidR="0001169E" w:rsidRPr="002E7000">
        <w:t xml:space="preserve"> single </w:t>
      </w:r>
      <w:r w:rsidR="005B572F" w:rsidRPr="002E7000">
        <w:t>p</w:t>
      </w:r>
      <w:r w:rsidR="00D80ED7" w:rsidRPr="002E7000">
        <w:t>recoded</w:t>
      </w:r>
      <w:r w:rsidR="0001169E" w:rsidRPr="002E7000">
        <w:t xml:space="preserve"> data stream to 2 physical antennas</w:t>
      </w:r>
      <w:r w:rsidR="00C62E1A" w:rsidRPr="002E7000">
        <w:t>. By transmitting simultaneously on 2 antenna</w:t>
      </w:r>
      <w:r w:rsidR="0001169E" w:rsidRPr="002E7000">
        <w:t xml:space="preserve"> </w:t>
      </w:r>
      <w:r w:rsidR="005B2A64" w:rsidRPr="002E7000">
        <w:t>AV</w:t>
      </w:r>
      <w:r w:rsidR="004A4369" w:rsidRPr="002E7000">
        <w:t xml:space="preserve"> enables the UE to achieve higher </w:t>
      </w:r>
      <w:r w:rsidR="00C62E1A" w:rsidRPr="002E7000">
        <w:t xml:space="preserve">total </w:t>
      </w:r>
      <w:r w:rsidR="004A4369" w:rsidRPr="002E7000">
        <w:t>output power w</w:t>
      </w:r>
      <w:r w:rsidR="004F53D8" w:rsidRPr="002E7000">
        <w:t>ithout</w:t>
      </w:r>
      <w:r w:rsidR="004A4369" w:rsidRPr="002E7000">
        <w:t xml:space="preserve"> the need for higher power PAs. </w:t>
      </w:r>
      <w:r w:rsidR="00434F06" w:rsidRPr="002E7000">
        <w:t>Such AV schemes</w:t>
      </w:r>
      <w:r w:rsidR="0098454C" w:rsidRPr="002E7000">
        <w:t xml:space="preserve"> can be employed by UEs having capabilities 2 and/or 3.</w:t>
      </w:r>
      <w:r w:rsidR="00434F06" w:rsidRPr="002E7000">
        <w:t xml:space="preserve"> </w:t>
      </w:r>
      <w:r w:rsidR="0098454C" w:rsidRPr="002E7000">
        <w:t>A</w:t>
      </w:r>
      <w:r w:rsidR="00434F06" w:rsidRPr="002E7000">
        <w:t>lso</w:t>
      </w:r>
      <w:r w:rsidR="0098454C" w:rsidRPr="002E7000">
        <w:t xml:space="preserve"> AV</w:t>
      </w:r>
      <w:r w:rsidR="00EA33DB" w:rsidRPr="002E7000">
        <w:t xml:space="preserve"> in conjunction with a diversity enhancement scheme such as S-CDD</w:t>
      </w:r>
      <w:r w:rsidR="00434F06" w:rsidRPr="002E7000">
        <w:t xml:space="preserve"> makes the UL signal more robust to channel fading. </w:t>
      </w:r>
    </w:p>
    <w:p w14:paraId="1CBB5D5A" w14:textId="77777777" w:rsidR="004A4369" w:rsidRPr="002E7000" w:rsidRDefault="004A4369" w:rsidP="00A104DA"/>
    <w:p w14:paraId="0BE1B636" w14:textId="7D2F06EF" w:rsidR="00CB75C2" w:rsidRPr="002E7000" w:rsidRDefault="004C589A" w:rsidP="004A4369">
      <w:pPr>
        <w:jc w:val="center"/>
      </w:pPr>
      <w:r w:rsidRPr="002E7000">
        <w:object w:dxaOrig="4936" w:dyaOrig="2730" w14:anchorId="2C6A1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47pt;height:136.5pt" o:ole="">
            <v:imagedata r:id="rId12" o:title=""/>
          </v:shape>
          <o:OLEObject Type="Embed" ProgID="Visio.Drawing.15" ShapeID="_x0000_i1029" DrawAspect="Content" ObjectID="_1627471460" r:id="rId13"/>
        </w:object>
      </w:r>
    </w:p>
    <w:p w14:paraId="33388324" w14:textId="30E1B2C6" w:rsidR="00816A2C" w:rsidRPr="002E7000" w:rsidRDefault="00816A2C" w:rsidP="00AC2466">
      <w:pPr>
        <w:jc w:val="center"/>
      </w:pPr>
      <w:r w:rsidRPr="002E7000">
        <w:t>Figure 1 – Antenna virtualization scheme for 1-layer system</w:t>
      </w:r>
    </w:p>
    <w:p w14:paraId="5D94104C" w14:textId="77777777" w:rsidR="00751315" w:rsidRPr="002E7000" w:rsidRDefault="00751315" w:rsidP="00AC2466">
      <w:pPr>
        <w:jc w:val="center"/>
      </w:pPr>
    </w:p>
    <w:p w14:paraId="5DDDAB83" w14:textId="4941B461" w:rsidR="00AC2466" w:rsidRPr="002E7000" w:rsidRDefault="00063621" w:rsidP="00063621">
      <w:r w:rsidRPr="002E7000">
        <w:t xml:space="preserve">For </w:t>
      </w:r>
      <w:r w:rsidR="00D212FF" w:rsidRPr="002E7000">
        <w:t xml:space="preserve">a </w:t>
      </w:r>
      <w:r w:rsidR="00A32F97" w:rsidRPr="002E7000">
        <w:t>1-layer</w:t>
      </w:r>
      <w:r w:rsidR="00AC2466" w:rsidRPr="002E7000">
        <w:t xml:space="preserve"> transmit port</w:t>
      </w:r>
      <w:r w:rsidR="008F17C8" w:rsidRPr="002E7000">
        <w:t>,</w:t>
      </w:r>
      <w:r w:rsidR="00AC2466" w:rsidRPr="002E7000">
        <w:t xml:space="preserve"> S</w:t>
      </w:r>
      <w:r w:rsidR="00AC2466" w:rsidRPr="002E7000">
        <w:rPr>
          <w:vertAlign w:val="subscript"/>
        </w:rPr>
        <w:t>1</w:t>
      </w:r>
      <w:r w:rsidR="008F17C8" w:rsidRPr="002E7000">
        <w:t xml:space="preserve">, </w:t>
      </w:r>
      <w:r w:rsidRPr="002E7000">
        <w:t>the</w:t>
      </w:r>
      <w:r w:rsidR="00AC2466" w:rsidRPr="002E7000">
        <w:t xml:space="preserve"> </w:t>
      </w:r>
      <w:r w:rsidR="00876B68" w:rsidRPr="002E7000">
        <w:t>AV</w:t>
      </w:r>
      <w:r w:rsidR="00AC2466" w:rsidRPr="002E7000">
        <w:t xml:space="preserve"> scheme </w:t>
      </w:r>
      <w:r w:rsidR="00F372DA" w:rsidRPr="002E7000">
        <w:t>can be</w:t>
      </w:r>
      <w:r w:rsidRPr="002E7000">
        <w:t xml:space="preserve"> </w:t>
      </w:r>
      <w:r w:rsidR="00AC2466" w:rsidRPr="002E7000">
        <w:t>described by the following</w:t>
      </w:r>
      <w:r w:rsidR="004A4369" w:rsidRPr="002E7000">
        <w:t xml:space="preserve"> generalized</w:t>
      </w:r>
      <w:r w:rsidR="00AC2466" w:rsidRPr="002E7000">
        <w:t xml:space="preserve"> matrix</w:t>
      </w:r>
      <w:r w:rsidR="00FB2A4D" w:rsidRPr="002E7000">
        <w:rPr>
          <w:lang w:val="en-US"/>
        </w:rPr>
        <w:t xml:space="preserve"> </w:t>
      </w:r>
    </w:p>
    <w:p w14:paraId="322FD9C1" w14:textId="2A949037" w:rsidR="00AC2466" w:rsidRPr="002E7000" w:rsidRDefault="00AC2466" w:rsidP="00FB2A4D">
      <w:pPr>
        <w:rPr>
          <w:lang w:val="en-US"/>
        </w:rPr>
      </w:pPr>
      <w:r w:rsidRPr="002E7000">
        <w:rPr>
          <w:lang w:val="en-US"/>
        </w:rPr>
        <w:t>[</w:t>
      </w:r>
      <m:oMath>
        <m:m>
          <m:mPr>
            <m:mcs>
              <m:mc>
                <m:mcPr>
                  <m:count m:val="1"/>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V1</m:t>
                  </m:r>
                </m:sub>
              </m:sSub>
            </m:e>
          </m:mr>
          <m:mr>
            <m:e>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V2</m:t>
                  </m:r>
                </m:sub>
              </m:sSub>
            </m:e>
          </m:mr>
        </m:m>
        <m:r>
          <w:rPr>
            <w:rFonts w:ascii="Cambria Math" w:hAnsi="Cambria Math"/>
            <w:lang w:val="en-US"/>
          </w:rPr>
          <m:t>]=[</m:t>
        </m:r>
        <m:m>
          <m:mPr>
            <m:mcs>
              <m:mc>
                <m:mcPr>
                  <m:count m:val="1"/>
                  <m:mcJc m:val="center"/>
                </m:mcPr>
              </m:mc>
            </m:mcs>
            <m:ctrlPr>
              <w:rPr>
                <w:rFonts w:ascii="Cambria Math" w:hAnsi="Cambria Math"/>
                <w:i/>
                <w:iCs/>
                <w:lang w:val="en-US"/>
              </w:rPr>
            </m:ctrlPr>
          </m:mPr>
          <m:mr>
            <m:e>
              <m:r>
                <w:rPr>
                  <w:rFonts w:ascii="Cambria Math" w:hAnsi="Cambria Math"/>
                  <w:lang w:val="en-US"/>
                </w:rPr>
                <m:t>a</m:t>
              </m:r>
            </m:e>
          </m:mr>
          <m:mr>
            <m:e>
              <m:r>
                <w:rPr>
                  <w:rFonts w:ascii="Cambria Math" w:hAnsi="Cambria Math"/>
                  <w:lang w:val="en-US"/>
                </w:rPr>
                <m:t>b</m:t>
              </m:r>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jδ</m:t>
                  </m:r>
                </m:sup>
              </m:sSup>
            </m:e>
          </m:mr>
        </m:m>
        <m:r>
          <w:rPr>
            <w:rFonts w:ascii="Cambria Math" w:hAnsi="Cambria Math"/>
            <w:lang w:val="en-US"/>
          </w:rPr>
          <m:t>]</m:t>
        </m:r>
      </m:oMath>
      <w:r w:rsidRPr="002E7000">
        <w:rPr>
          <w:lang w:val="en-US"/>
        </w:rPr>
        <w:t xml:space="preserve">. </w:t>
      </w:r>
      <w:r w:rsidR="00FB2A4D" w:rsidRPr="002E7000">
        <w:rPr>
          <w:lang w:val="en-US"/>
        </w:rPr>
        <w:t>S</w:t>
      </w:r>
      <w:r w:rsidR="00FB2A4D" w:rsidRPr="002E7000">
        <w:rPr>
          <w:vertAlign w:val="subscript"/>
          <w:lang w:val="en-US"/>
        </w:rPr>
        <w:t>1</w:t>
      </w:r>
    </w:p>
    <w:p w14:paraId="5B53A00C" w14:textId="77777777" w:rsidR="00FB2A4D" w:rsidRPr="002E7000" w:rsidRDefault="00FB2A4D" w:rsidP="00AC2466">
      <w:pPr>
        <w:rPr>
          <w:lang w:val="en-US"/>
        </w:rPr>
      </w:pPr>
    </w:p>
    <w:p w14:paraId="0525B3F9" w14:textId="2D6CDAD3" w:rsidR="004C177D" w:rsidRPr="002E7000" w:rsidRDefault="00852140" w:rsidP="00A104DA">
      <w:r w:rsidRPr="002E7000">
        <w:t>The</w:t>
      </w:r>
      <w:r w:rsidR="00DC5C22" w:rsidRPr="002E7000">
        <w:t xml:space="preserve"> simultaneous transmission </w:t>
      </w:r>
      <w:r w:rsidR="002B00B0" w:rsidRPr="002E7000">
        <w:t>of RF</w:t>
      </w:r>
      <w:r w:rsidRPr="002E7000">
        <w:t xml:space="preserve"> signals </w:t>
      </w:r>
      <w:r w:rsidR="00DC5C22" w:rsidRPr="002E7000">
        <w:t xml:space="preserve">from 2 antennas </w:t>
      </w:r>
      <w:r w:rsidR="004C177D" w:rsidRPr="002E7000">
        <w:t xml:space="preserve">raises certain </w:t>
      </w:r>
      <w:r w:rsidR="00EA33DB" w:rsidRPr="002E7000">
        <w:t>measurement</w:t>
      </w:r>
      <w:r w:rsidR="004C177D" w:rsidRPr="002E7000">
        <w:t xml:space="preserve"> issues which need to be </w:t>
      </w:r>
      <w:r w:rsidR="00EA33DB" w:rsidRPr="002E7000">
        <w:t>clarified</w:t>
      </w:r>
      <w:r w:rsidR="004C177D" w:rsidRPr="002E7000">
        <w:t xml:space="preserve"> </w:t>
      </w:r>
      <w:r w:rsidR="00F5039A" w:rsidRPr="002E7000">
        <w:t>to</w:t>
      </w:r>
      <w:r w:rsidR="004C177D" w:rsidRPr="002E7000">
        <w:t xml:space="preserve"> </w:t>
      </w:r>
      <w:r w:rsidR="00B67FB9" w:rsidRPr="002E7000">
        <w:t>fully</w:t>
      </w:r>
      <w:r w:rsidR="004C177D" w:rsidRPr="002E7000">
        <w:t xml:space="preserve"> specify </w:t>
      </w:r>
      <w:r w:rsidR="00EA33DB" w:rsidRPr="002E7000">
        <w:t>the performance of this mode</w:t>
      </w:r>
      <w:r w:rsidR="00CD0A5A" w:rsidRPr="002E7000">
        <w:t xml:space="preserve">. </w:t>
      </w:r>
    </w:p>
    <w:p w14:paraId="07E756C9" w14:textId="50F91E0E" w:rsidR="0098454C" w:rsidRPr="002E7000" w:rsidRDefault="0098454C" w:rsidP="00A104DA"/>
    <w:p w14:paraId="0002F268" w14:textId="3AF5CFE2" w:rsidR="0098454C" w:rsidRPr="002E7000" w:rsidRDefault="0098454C" w:rsidP="00A104DA">
      <w:r w:rsidRPr="002E7000">
        <w:t>It was agreed in RAN4#</w:t>
      </w:r>
      <w:r w:rsidR="00E0196C" w:rsidRPr="002E7000">
        <w:t>90 [2</w:t>
      </w:r>
      <w:r w:rsidR="002E14DD" w:rsidRPr="002E7000">
        <w:t>,3,4</w:t>
      </w:r>
      <w:r w:rsidR="00E0196C" w:rsidRPr="002E7000">
        <w:t>]</w:t>
      </w:r>
      <w:r w:rsidR="00612457" w:rsidRPr="002E7000">
        <w:t xml:space="preserve"> that for multi-antenna </w:t>
      </w:r>
      <w:r w:rsidR="000B57A2" w:rsidRPr="002E7000">
        <w:t>UEs</w:t>
      </w:r>
      <w:r w:rsidR="00612457" w:rsidRPr="002E7000">
        <w:t xml:space="preserve"> the following measurement </w:t>
      </w:r>
      <w:r w:rsidR="00437DCB" w:rsidRPr="002E7000">
        <w:t>method</w:t>
      </w:r>
      <w:r w:rsidR="00612457" w:rsidRPr="002E7000">
        <w:t>s</w:t>
      </w:r>
      <w:r w:rsidR="000B57A2" w:rsidRPr="002E7000">
        <w:t xml:space="preserve"> will apply</w:t>
      </w:r>
      <w:r w:rsidR="00612457" w:rsidRPr="002E7000">
        <w:t>:</w:t>
      </w:r>
    </w:p>
    <w:p w14:paraId="16CCE598" w14:textId="4D7C1CAA" w:rsidR="00612457" w:rsidRPr="002E7000" w:rsidRDefault="00612457" w:rsidP="00612457">
      <w:r w:rsidRPr="002E7000">
        <w:t>Output power: The total output power shall be the sum of the powers of the individual antenna ports</w:t>
      </w:r>
    </w:p>
    <w:p w14:paraId="4D90C22C" w14:textId="63EBEE63" w:rsidR="00612457" w:rsidRPr="002E7000" w:rsidRDefault="00612457" w:rsidP="00612457">
      <w:r w:rsidRPr="002E7000">
        <w:t xml:space="preserve">EVM: For 1-layer operation the EVM shall be met on a per antenna basis. </w:t>
      </w:r>
    </w:p>
    <w:p w14:paraId="4575F68A" w14:textId="1CB032D5" w:rsidR="00612457" w:rsidRPr="002E7000" w:rsidRDefault="00612457" w:rsidP="00612457">
      <w:r w:rsidRPr="002E7000">
        <w:t xml:space="preserve">SEM mask: The individual powers at the 2 antennas shall be summed as a function of frequency and compared with the SEM mask. </w:t>
      </w:r>
    </w:p>
    <w:p w14:paraId="597FDCD4" w14:textId="778648EE" w:rsidR="00612457" w:rsidRPr="002E7000" w:rsidRDefault="00612457" w:rsidP="00612457">
      <w:r w:rsidRPr="002E7000">
        <w:t>ACLR: The sum of the powers of the individual antenna shall meet 31 dB ACLR for PC2</w:t>
      </w:r>
    </w:p>
    <w:p w14:paraId="2B2A220B" w14:textId="38B7736C" w:rsidR="00F372DA" w:rsidRPr="002E7000" w:rsidRDefault="00612457" w:rsidP="00A104DA">
      <w:r w:rsidRPr="002E7000">
        <w:t xml:space="preserve">MPR and AMPR: The MPR and AMPR values that shall apply at each antenna port are those corresponding to the power class of the UE calculated from the sum of the powers of the individual antenna.  In other words, for a UE delivering PC2 by combining two </w:t>
      </w:r>
      <w:r w:rsidR="00B01047" w:rsidRPr="002E7000">
        <w:t xml:space="preserve">23 dBm </w:t>
      </w:r>
      <w:r w:rsidRPr="002E7000">
        <w:t>chains, each antenna port shall be individually afforded the PC2 MPR/A-MPR.</w:t>
      </w:r>
    </w:p>
    <w:p w14:paraId="4FEC640F" w14:textId="26B64574" w:rsidR="00D015D4" w:rsidRPr="002E7000" w:rsidRDefault="00D015D4" w:rsidP="00A104DA">
      <w:r w:rsidRPr="002E7000">
        <w:t>For EVM</w:t>
      </w:r>
      <w:r w:rsidR="003936BA" w:rsidRPr="002E7000">
        <w:t xml:space="preserve"> measurements there is </w:t>
      </w:r>
      <w:r w:rsidRPr="002E7000">
        <w:t>a discussion paper [6] and CR to clarify</w:t>
      </w:r>
      <w:r w:rsidR="003936BA" w:rsidRPr="002E7000">
        <w:t xml:space="preserve"> why a single layer measurement </w:t>
      </w:r>
      <w:r w:rsidRPr="002E7000">
        <w:t xml:space="preserve">approach may not work since the testing is made with 2-layer signal. </w:t>
      </w:r>
    </w:p>
    <w:p w14:paraId="77ECDCD7" w14:textId="3993306F" w:rsidR="009E424E" w:rsidRPr="002E7000" w:rsidRDefault="004B30CF" w:rsidP="00A104DA">
      <w:r w:rsidRPr="002E7000">
        <w:t>Figure 2 and 3</w:t>
      </w:r>
      <w:r w:rsidR="005B062C" w:rsidRPr="002E7000">
        <w:t xml:space="preserve"> illustrate the ACLR and SEM performance of a single PA versus two frequency co-located </w:t>
      </w:r>
      <w:r w:rsidR="00415F58" w:rsidRPr="002E7000">
        <w:t>PAs.</w:t>
      </w:r>
      <w:r w:rsidR="005B062C" w:rsidRPr="002E7000">
        <w:t xml:space="preserve"> As </w:t>
      </w:r>
      <w:r w:rsidR="00531A27" w:rsidRPr="002E7000">
        <w:t>expected,</w:t>
      </w:r>
      <w:r w:rsidR="005B062C" w:rsidRPr="002E7000">
        <w:t xml:space="preserve"> the ACLR performanc</w:t>
      </w:r>
      <w:r w:rsidR="005E690C" w:rsidRPr="002E7000">
        <w:t>e remained constant and</w:t>
      </w:r>
      <w:r w:rsidR="005B062C" w:rsidRPr="002E7000">
        <w:t xml:space="preserve"> the </w:t>
      </w:r>
      <w:r w:rsidR="005E690C" w:rsidRPr="002E7000">
        <w:t xml:space="preserve">Pout and </w:t>
      </w:r>
      <w:r w:rsidR="005B062C" w:rsidRPr="002E7000">
        <w:t>SEM power for the 2 PA setup is seen to be about 2.5dB larger compared to t</w:t>
      </w:r>
      <w:r w:rsidR="005E690C" w:rsidRPr="002E7000">
        <w:t>hat of the</w:t>
      </w:r>
      <w:r w:rsidR="005B062C" w:rsidRPr="002E7000">
        <w:t xml:space="preserve"> single PA</w:t>
      </w:r>
      <w:r w:rsidR="005E690C" w:rsidRPr="002E7000">
        <w:t>. This would mean that PAs used for 2 T</w:t>
      </w:r>
      <w:r w:rsidR="000D665F" w:rsidRPr="002E7000">
        <w:t>X operation would need</w:t>
      </w:r>
      <w:r w:rsidR="005E690C" w:rsidRPr="002E7000">
        <w:t xml:space="preserve"> </w:t>
      </w:r>
      <w:r w:rsidR="00415F58" w:rsidRPr="002E7000">
        <w:t>to have</w:t>
      </w:r>
      <w:r w:rsidR="005E690C" w:rsidRPr="002E7000">
        <w:t xml:space="preserve"> better SEM performance compared to those use</w:t>
      </w:r>
      <w:r w:rsidR="00BF2D7F" w:rsidRPr="002E7000">
        <w:t>d</w:t>
      </w:r>
      <w:r w:rsidR="005E690C" w:rsidRPr="002E7000">
        <w:t xml:space="preserve"> in single PA applications.</w:t>
      </w:r>
      <w:r w:rsidR="00BF2D7F" w:rsidRPr="002E7000">
        <w:t xml:space="preserve"> The antenna isolation between the 2 PAs was 10dB in these measurements.</w:t>
      </w:r>
    </w:p>
    <w:p w14:paraId="4817562E" w14:textId="7B1679CE" w:rsidR="005E690C" w:rsidRPr="002E7000" w:rsidRDefault="00E33916" w:rsidP="00A104DA">
      <w:pPr>
        <w:rPr>
          <w:b/>
        </w:rPr>
      </w:pPr>
      <w:r w:rsidRPr="002E7000">
        <w:rPr>
          <w:b/>
        </w:rPr>
        <w:t>Observation</w:t>
      </w:r>
      <w:r w:rsidR="00C3711D" w:rsidRPr="002E7000">
        <w:rPr>
          <w:b/>
        </w:rPr>
        <w:t>1: PAs used in multi-TX applications must have better SEM performance compared to those operating stand-alone.</w:t>
      </w:r>
    </w:p>
    <w:p w14:paraId="3908A5D0" w14:textId="7806245E" w:rsidR="005E690C" w:rsidRPr="002E7000" w:rsidRDefault="005E690C" w:rsidP="005E690C">
      <w:pPr>
        <w:jc w:val="center"/>
      </w:pPr>
      <w:r w:rsidRPr="002E7000">
        <w:rPr>
          <w:noProof/>
        </w:rPr>
        <w:lastRenderedPageBreak/>
        <w:drawing>
          <wp:inline distT="0" distB="0" distL="0" distR="0" wp14:anchorId="1ED0928D" wp14:editId="76529E66">
            <wp:extent cx="4284921" cy="2647507"/>
            <wp:effectExtent l="0" t="0" r="1905" b="635"/>
            <wp:docPr id="1" name="Chart 1">
              <a:extLst xmlns:a="http://schemas.openxmlformats.org/drawingml/2006/main">
                <a:ext uri="{FF2B5EF4-FFF2-40B4-BE49-F238E27FC236}">
                  <a16:creationId xmlns:a16="http://schemas.microsoft.com/office/drawing/2014/main" id="{DF230B12-F14D-4F80-BE86-4138DE35236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D5E2DB5" w14:textId="248268E3" w:rsidR="005E690C" w:rsidRPr="002E7000" w:rsidRDefault="005E690C" w:rsidP="005E690C">
      <w:pPr>
        <w:jc w:val="center"/>
      </w:pPr>
      <w:r w:rsidRPr="002E7000">
        <w:t>Figure 2 – Pout &amp; ACLR performance</w:t>
      </w:r>
    </w:p>
    <w:p w14:paraId="1EAE313F" w14:textId="5CBF5187" w:rsidR="005E690C" w:rsidRPr="002E7000" w:rsidRDefault="005E690C" w:rsidP="005E690C">
      <w:pPr>
        <w:jc w:val="center"/>
      </w:pPr>
    </w:p>
    <w:p w14:paraId="32A79B70" w14:textId="383EFA74" w:rsidR="005E690C" w:rsidRPr="002E7000" w:rsidRDefault="005E690C" w:rsidP="005E690C">
      <w:pPr>
        <w:jc w:val="center"/>
      </w:pPr>
      <w:r w:rsidRPr="002E7000">
        <w:rPr>
          <w:noProof/>
        </w:rPr>
        <w:drawing>
          <wp:inline distT="0" distB="0" distL="0" distR="0" wp14:anchorId="3AC5E8C5" wp14:editId="03742309">
            <wp:extent cx="4263656" cy="2679405"/>
            <wp:effectExtent l="0" t="0" r="3810" b="6985"/>
            <wp:docPr id="3" name="Chart 3">
              <a:extLst xmlns:a="http://schemas.openxmlformats.org/drawingml/2006/main">
                <a:ext uri="{FF2B5EF4-FFF2-40B4-BE49-F238E27FC236}">
                  <a16:creationId xmlns:a16="http://schemas.microsoft.com/office/drawing/2014/main" id="{0C621F4F-33DD-450D-9799-24413E1A51A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558A0F2" w14:textId="51EEF7B2" w:rsidR="005E690C" w:rsidRPr="002E7000" w:rsidRDefault="005E690C" w:rsidP="005E690C">
      <w:pPr>
        <w:jc w:val="center"/>
      </w:pPr>
      <w:r w:rsidRPr="002E7000">
        <w:t>Figure 3 – Pout &amp; SEM performance</w:t>
      </w:r>
    </w:p>
    <w:p w14:paraId="631B0762" w14:textId="77777777" w:rsidR="005E690C" w:rsidRPr="002E7000" w:rsidRDefault="005E690C" w:rsidP="005E690C">
      <w:pPr>
        <w:jc w:val="center"/>
      </w:pPr>
    </w:p>
    <w:p w14:paraId="2FE28CE4" w14:textId="1524FFA2" w:rsidR="005753CB" w:rsidRPr="002E7000" w:rsidRDefault="008A4C87" w:rsidP="00BB7E7A">
      <w:r w:rsidRPr="002E7000">
        <w:t>In RAN1#</w:t>
      </w:r>
      <w:r w:rsidR="00BC1382" w:rsidRPr="002E7000">
        <w:t>97</w:t>
      </w:r>
      <w:r w:rsidR="00CC3676" w:rsidRPr="002E7000">
        <w:t xml:space="preserve"> [5]</w:t>
      </w:r>
      <w:r w:rsidR="00CA0C2C" w:rsidRPr="002E7000">
        <w:t xml:space="preserve"> </w:t>
      </w:r>
      <w:r w:rsidR="00BC1382" w:rsidRPr="002E7000">
        <w:t xml:space="preserve">it was further </w:t>
      </w:r>
      <w:r w:rsidR="00EA33DB" w:rsidRPr="002E7000">
        <w:t>agreed</w:t>
      </w:r>
      <w:r w:rsidR="00BC1382" w:rsidRPr="002E7000">
        <w:t xml:space="preserve"> that for non-coherent and partial/non-coherent devices </w:t>
      </w:r>
      <w:r w:rsidR="00877F67" w:rsidRPr="002E7000">
        <w:t xml:space="preserve">having capabilities 2 and/or </w:t>
      </w:r>
      <w:r w:rsidR="00EA33DB" w:rsidRPr="002E7000">
        <w:t xml:space="preserve">3 </w:t>
      </w:r>
      <w:r w:rsidR="00BC1382" w:rsidRPr="002E7000">
        <w:t>the UE can be configured for one of 2 modes of operation referred to as mode 1 and mode</w:t>
      </w:r>
      <w:r w:rsidR="00F52D42" w:rsidRPr="002E7000">
        <w:t xml:space="preserve"> </w:t>
      </w:r>
      <w:r w:rsidR="00BC1382" w:rsidRPr="002E7000">
        <w:t>2.</w:t>
      </w:r>
    </w:p>
    <w:p w14:paraId="43F765F8" w14:textId="391FCB91" w:rsidR="00FC46F8" w:rsidRPr="002E7000" w:rsidRDefault="00BC1382" w:rsidP="00BC1382">
      <w:r w:rsidRPr="002E7000">
        <w:t>In mode</w:t>
      </w:r>
      <w:r w:rsidR="00F52D42" w:rsidRPr="002E7000">
        <w:t xml:space="preserve"> </w:t>
      </w:r>
      <w:r w:rsidRPr="002E7000">
        <w:t>1 a n</w:t>
      </w:r>
      <w:r w:rsidR="00247A9F" w:rsidRPr="002E7000">
        <w:t xml:space="preserve">ew </w:t>
      </w:r>
      <w:r w:rsidRPr="002E7000">
        <w:t>set of TPMI subsets</w:t>
      </w:r>
      <w:r w:rsidR="000F751B" w:rsidRPr="002E7000">
        <w:t xml:space="preserve"> is introduced only for </w:t>
      </w:r>
      <w:r w:rsidR="00247A9F" w:rsidRPr="002E7000">
        <w:t>rank value</w:t>
      </w:r>
      <w:r w:rsidR="000F751B" w:rsidRPr="002E7000">
        <w:t>s</w:t>
      </w:r>
      <w:r w:rsidR="00247A9F" w:rsidRPr="002E7000">
        <w:t xml:space="preserve"> where full power</w:t>
      </w:r>
      <w:r w:rsidR="002A795A" w:rsidRPr="002E7000">
        <w:t xml:space="preserve"> UL</w:t>
      </w:r>
      <w:r w:rsidR="00247A9F" w:rsidRPr="002E7000">
        <w:t xml:space="preserve"> transmis</w:t>
      </w:r>
      <w:r w:rsidR="002A795A" w:rsidRPr="002E7000">
        <w:t xml:space="preserve">sion </w:t>
      </w:r>
      <w:r w:rsidRPr="002E7000">
        <w:t xml:space="preserve">is not achievable. UEs </w:t>
      </w:r>
      <w:r w:rsidR="003E1ECA" w:rsidRPr="002E7000">
        <w:t>can</w:t>
      </w:r>
      <w:r w:rsidRPr="002E7000">
        <w:t xml:space="preserve"> </w:t>
      </w:r>
      <w:r w:rsidR="008176BE" w:rsidRPr="002E7000">
        <w:t>be assigned</w:t>
      </w:r>
      <w:r w:rsidR="00247A9F" w:rsidRPr="002E7000">
        <w:t xml:space="preserve"> TPMI precoder</w:t>
      </w:r>
      <w:r w:rsidR="00454AEE" w:rsidRPr="002E7000">
        <w:t>s from the fully and partial/</w:t>
      </w:r>
      <w:r w:rsidR="00247A9F" w:rsidRPr="002E7000">
        <w:t>non-coherent set defined in Rel-15</w:t>
      </w:r>
      <w:r w:rsidRPr="002E7000">
        <w:t xml:space="preserve"> and </w:t>
      </w:r>
      <w:r w:rsidR="0036059B" w:rsidRPr="002E7000">
        <w:t xml:space="preserve">presented in Table 1. </w:t>
      </w:r>
      <w:r w:rsidR="003E1ECA" w:rsidRPr="002E7000">
        <w:t>Therefore, in Rel-16 UE</w:t>
      </w:r>
      <w:r w:rsidR="007D63B5" w:rsidRPr="002E7000">
        <w:t>s</w:t>
      </w:r>
      <w:r w:rsidR="003E1ECA" w:rsidRPr="002E7000">
        <w:t xml:space="preserve"> having capability 2 or 3</w:t>
      </w:r>
      <w:r w:rsidR="00454AEE" w:rsidRPr="002E7000">
        <w:t xml:space="preserve"> and</w:t>
      </w:r>
      <w:r w:rsidR="003E1ECA" w:rsidRPr="002E7000">
        <w:t xml:space="preserve"> transmitting a single layer over 2 antenna ports can now use TPMI precoders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d>
      </m:oMath>
      <w:r w:rsidR="003E1ECA" w:rsidRPr="002E7000">
        <w:t xml:space="preserve"> , </w:t>
      </w:r>
      <m:oMath>
        <m:f>
          <m:fPr>
            <m:ctrlPr>
              <w:rPr>
                <w:rFonts w:ascii="Cambria Math" w:hAnsi="Cambria Math"/>
                <w:i/>
              </w:rPr>
            </m:ctrlPr>
          </m:fPr>
          <m:num>
            <m:r>
              <w:rPr>
                <w:rFonts w:ascii="Cambria Math" w:hAnsi="Cambria Math"/>
              </w:rPr>
              <m:t xml:space="preserve">  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d>
      </m:oMath>
      <w:r w:rsidR="003E1ECA" w:rsidRPr="002E7000">
        <w:t xml:space="preserve">,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d>
      </m:oMath>
      <w:r w:rsidR="003E1ECA" w:rsidRPr="002E7000">
        <w:t xml:space="preserve"> , </w:t>
      </w:r>
      <m:oMath>
        <m:f>
          <m:fPr>
            <m:ctrlPr>
              <w:rPr>
                <w:rFonts w:ascii="Cambria Math" w:hAnsi="Cambria Math"/>
                <w:i/>
              </w:rPr>
            </m:ctrlPr>
          </m:fPr>
          <m:num>
            <m:r>
              <w:rPr>
                <w:rFonts w:ascii="Cambria Math" w:hAnsi="Cambria Math"/>
              </w:rPr>
              <m:t xml:space="preserve">  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d>
      </m:oMath>
      <w:r w:rsidR="003E1ECA" w:rsidRPr="002E7000">
        <w:t xml:space="preserve">. With these TPMI precoders a </w:t>
      </w:r>
      <w:r w:rsidR="00A17AD2" w:rsidRPr="002E7000">
        <w:t xml:space="preserve">diversity </w:t>
      </w:r>
      <w:r w:rsidR="00454AEE" w:rsidRPr="002E7000">
        <w:t>enhancement scheme</w:t>
      </w:r>
      <w:r w:rsidR="00A17AD2" w:rsidRPr="002E7000">
        <w:t xml:space="preserve"> such as S-CDD</w:t>
      </w:r>
      <w:r w:rsidR="00454AEE" w:rsidRPr="002E7000">
        <w:t xml:space="preserve"> can be used</w:t>
      </w:r>
      <w:r w:rsidR="00D77D79" w:rsidRPr="002E7000">
        <w:t>. For SRS transmission the 2 SRS logical ports are individually mapped to the 2 physical antenna ports.</w:t>
      </w:r>
    </w:p>
    <w:p w14:paraId="7124C003" w14:textId="43A2CB97" w:rsidR="00142B3F" w:rsidRPr="002E7000" w:rsidRDefault="00E33916" w:rsidP="00BC1382">
      <w:pPr>
        <w:rPr>
          <w:b/>
        </w:rPr>
      </w:pPr>
      <w:r w:rsidRPr="002E7000">
        <w:rPr>
          <w:b/>
        </w:rPr>
        <w:t>Observation</w:t>
      </w:r>
      <w:r w:rsidR="002536E8" w:rsidRPr="002E7000">
        <w:rPr>
          <w:b/>
        </w:rPr>
        <w:t>2: M</w:t>
      </w:r>
      <w:r w:rsidR="005C0C29" w:rsidRPr="002E7000">
        <w:rPr>
          <w:b/>
        </w:rPr>
        <w:t>ode1 enables full power transmission by allowing the use of new TPMI precoders</w:t>
      </w:r>
    </w:p>
    <w:p w14:paraId="036545BA" w14:textId="2320BF41" w:rsidR="00FC46F8" w:rsidRPr="002E7000" w:rsidRDefault="00142B3F" w:rsidP="009166F1">
      <w:pPr>
        <w:rPr>
          <w:lang w:val="en-US"/>
        </w:rPr>
      </w:pPr>
      <w:r w:rsidRPr="002E7000">
        <w:t>In mode2</w:t>
      </w:r>
      <w:r w:rsidR="003D0020" w:rsidRPr="002E7000">
        <w:t xml:space="preserve"> </w:t>
      </w:r>
      <w:r w:rsidR="00BF0C8F" w:rsidRPr="002E7000">
        <w:rPr>
          <w:lang w:val="en-US"/>
        </w:rPr>
        <w:t>t</w:t>
      </w:r>
      <w:r w:rsidR="00247A9F" w:rsidRPr="002E7000">
        <w:rPr>
          <w:lang w:val="en-US"/>
        </w:rPr>
        <w:t xml:space="preserve">he UE can be configured with one </w:t>
      </w:r>
      <w:r w:rsidR="00454AEE" w:rsidRPr="002E7000">
        <w:rPr>
          <w:lang w:val="en-US"/>
        </w:rPr>
        <w:t>or more</w:t>
      </w:r>
      <w:r w:rsidR="00247A9F" w:rsidRPr="002E7000">
        <w:rPr>
          <w:lang w:val="en-US"/>
        </w:rPr>
        <w:t xml:space="preserve"> SRS resources with </w:t>
      </w:r>
      <w:r w:rsidR="00454AEE" w:rsidRPr="002E7000">
        <w:rPr>
          <w:lang w:val="en-US"/>
        </w:rPr>
        <w:t xml:space="preserve">a </w:t>
      </w:r>
      <w:r w:rsidR="00247A9F" w:rsidRPr="002E7000">
        <w:rPr>
          <w:lang w:val="en-US"/>
        </w:rPr>
        <w:t>differ</w:t>
      </w:r>
      <w:r w:rsidR="00454AEE" w:rsidRPr="002E7000">
        <w:rPr>
          <w:lang w:val="en-US"/>
        </w:rPr>
        <w:t>ent number of SRS ports within each</w:t>
      </w:r>
      <w:r w:rsidR="00247A9F" w:rsidRPr="002E7000">
        <w:rPr>
          <w:lang w:val="en-US"/>
        </w:rPr>
        <w:t xml:space="preserve"> SRS resource set</w:t>
      </w:r>
      <w:r w:rsidR="009166F1" w:rsidRPr="002E7000">
        <w:rPr>
          <w:lang w:val="en-US"/>
        </w:rPr>
        <w:t xml:space="preserve">. </w:t>
      </w:r>
      <w:r w:rsidR="009B34C6" w:rsidRPr="002E7000">
        <w:rPr>
          <w:lang w:val="en-US"/>
        </w:rPr>
        <w:t xml:space="preserve">In Rel-16 </w:t>
      </w:r>
      <w:r w:rsidR="00165374" w:rsidRPr="002E7000">
        <w:rPr>
          <w:lang w:val="en-US"/>
        </w:rPr>
        <w:t xml:space="preserve">PUSCH </w:t>
      </w:r>
      <w:r w:rsidR="009B34C6" w:rsidRPr="002E7000">
        <w:rPr>
          <w:lang w:val="en-US"/>
        </w:rPr>
        <w:t>data and SRS ca</w:t>
      </w:r>
      <w:r w:rsidR="00783D91" w:rsidRPr="002E7000">
        <w:rPr>
          <w:lang w:val="en-US"/>
        </w:rPr>
        <w:t xml:space="preserve">n be transmit on 1 port </w:t>
      </w:r>
      <w:r w:rsidR="00A54DF6" w:rsidRPr="002E7000">
        <w:rPr>
          <w:lang w:val="en-US"/>
        </w:rPr>
        <w:t>and both</w:t>
      </w:r>
      <w:r w:rsidR="009B34C6" w:rsidRPr="002E7000">
        <w:rPr>
          <w:lang w:val="en-US"/>
        </w:rPr>
        <w:t xml:space="preserve"> can be virtualized to 2 physical </w:t>
      </w:r>
      <w:r w:rsidR="00E732ED" w:rsidRPr="002E7000">
        <w:rPr>
          <w:lang w:val="en-US"/>
        </w:rPr>
        <w:t>antennas</w:t>
      </w:r>
      <w:r w:rsidR="009B34C6" w:rsidRPr="002E7000">
        <w:rPr>
          <w:lang w:val="en-US"/>
        </w:rPr>
        <w:t xml:space="preserve"> if desired. </w:t>
      </w:r>
      <w:r w:rsidR="00023E07" w:rsidRPr="002E7000">
        <w:rPr>
          <w:lang w:val="en-US"/>
        </w:rPr>
        <w:t xml:space="preserve">For </w:t>
      </w:r>
      <w:r w:rsidR="00E732ED" w:rsidRPr="002E7000">
        <w:rPr>
          <w:lang w:val="en-US"/>
        </w:rPr>
        <w:t>2-layer</w:t>
      </w:r>
      <w:r w:rsidR="00023E07" w:rsidRPr="002E7000">
        <w:rPr>
          <w:lang w:val="en-US"/>
        </w:rPr>
        <w:t xml:space="preserve"> UL transmission the </w:t>
      </w:r>
      <w:r w:rsidR="00E732ED" w:rsidRPr="002E7000">
        <w:rPr>
          <w:lang w:val="en-US"/>
        </w:rPr>
        <w:t xml:space="preserve">PUSCH </w:t>
      </w:r>
      <w:r w:rsidR="00023E07" w:rsidRPr="002E7000">
        <w:rPr>
          <w:lang w:val="en-US"/>
        </w:rPr>
        <w:t>data and SRS are mapped to 2 individual antenna ports ac</w:t>
      </w:r>
      <w:r w:rsidR="00E732ED" w:rsidRPr="002E7000">
        <w:rPr>
          <w:lang w:val="en-US"/>
        </w:rPr>
        <w:t>cording to the Rel-15 specifications</w:t>
      </w:r>
      <w:r w:rsidR="00023E07" w:rsidRPr="002E7000">
        <w:rPr>
          <w:lang w:val="en-US"/>
        </w:rPr>
        <w:t xml:space="preserve">. </w:t>
      </w:r>
      <w:r w:rsidR="0020539F" w:rsidRPr="002E7000">
        <w:rPr>
          <w:lang w:val="en-US"/>
        </w:rPr>
        <w:t>For a multi-panel UE different S</w:t>
      </w:r>
      <w:r w:rsidR="00FF25F5" w:rsidRPr="002E7000">
        <w:rPr>
          <w:lang w:val="en-US"/>
        </w:rPr>
        <w:t xml:space="preserve">RS resources can be mapped to </w:t>
      </w:r>
      <w:r w:rsidR="0020539F" w:rsidRPr="002E7000">
        <w:rPr>
          <w:lang w:val="en-US"/>
        </w:rPr>
        <w:t>different panel</w:t>
      </w:r>
      <w:r w:rsidR="00FF25F5" w:rsidRPr="002E7000">
        <w:rPr>
          <w:lang w:val="en-US"/>
        </w:rPr>
        <w:t>s</w:t>
      </w:r>
      <w:r w:rsidR="0020539F" w:rsidRPr="002E7000">
        <w:rPr>
          <w:lang w:val="en-US"/>
        </w:rPr>
        <w:t xml:space="preserve">. </w:t>
      </w:r>
    </w:p>
    <w:p w14:paraId="3A55E95F" w14:textId="77777777" w:rsidR="005C0C29" w:rsidRPr="002E7000" w:rsidRDefault="005C0C29" w:rsidP="009166F1">
      <w:pPr>
        <w:rPr>
          <w:lang w:val="en-US"/>
        </w:rPr>
      </w:pPr>
    </w:p>
    <w:p w14:paraId="7309B696" w14:textId="521430F4" w:rsidR="00142B3F" w:rsidRPr="002E7000" w:rsidRDefault="0092178A" w:rsidP="00A60951">
      <w:pPr>
        <w:jc w:val="center"/>
        <w:rPr>
          <w:lang w:val="en-US"/>
        </w:rPr>
      </w:pPr>
      <w:r w:rsidRPr="002E7000">
        <w:rPr>
          <w:noProof/>
          <w:lang w:val="en-US"/>
        </w:rPr>
        <w:drawing>
          <wp:inline distT="0" distB="0" distL="0" distR="0" wp14:anchorId="079B5EE6" wp14:editId="5714BFF0">
            <wp:extent cx="2072640" cy="207899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72640" cy="2078990"/>
                    </a:xfrm>
                    <a:prstGeom prst="rect">
                      <a:avLst/>
                    </a:prstGeom>
                    <a:noFill/>
                  </pic:spPr>
                </pic:pic>
              </a:graphicData>
            </a:graphic>
          </wp:inline>
        </w:drawing>
      </w:r>
    </w:p>
    <w:p w14:paraId="1BCFD503" w14:textId="788D8D12" w:rsidR="00A60951" w:rsidRPr="002E7000" w:rsidRDefault="005E690C" w:rsidP="00A60951">
      <w:pPr>
        <w:jc w:val="center"/>
      </w:pPr>
      <w:r w:rsidRPr="002E7000">
        <w:t>Figure 4</w:t>
      </w:r>
      <w:r w:rsidR="00A60951" w:rsidRPr="002E7000">
        <w:t xml:space="preserve"> – SRS resource set with 2 SRS resources</w:t>
      </w:r>
    </w:p>
    <w:p w14:paraId="53F42783" w14:textId="1A08C2E9" w:rsidR="00A60951" w:rsidRPr="002E7000" w:rsidRDefault="00A60951" w:rsidP="00A60951">
      <w:pPr>
        <w:jc w:val="center"/>
      </w:pPr>
    </w:p>
    <w:p w14:paraId="5D2A2D8C" w14:textId="33EF6106" w:rsidR="00A60951" w:rsidRPr="002E7000" w:rsidRDefault="002536E8" w:rsidP="00A60951">
      <w:r w:rsidRPr="002E7000">
        <w:t>F</w:t>
      </w:r>
      <w:r w:rsidR="004B30CF" w:rsidRPr="002E7000">
        <w:t>igure4</w:t>
      </w:r>
      <w:r w:rsidRPr="002E7000">
        <w:t xml:space="preserve"> illustrates an example of one SRS resource set containing</w:t>
      </w:r>
      <w:r w:rsidR="00A60951" w:rsidRPr="002E7000">
        <w:t xml:space="preserve"> 2 SRS resources with the first resource having 2 unvirtualized ports. This</w:t>
      </w:r>
      <w:r w:rsidR="0092178A" w:rsidRPr="002E7000">
        <w:t xml:space="preserve"> resource</w:t>
      </w:r>
      <w:r w:rsidR="00A60951" w:rsidRPr="002E7000">
        <w:t xml:space="preserve"> could be used for </w:t>
      </w:r>
      <w:r w:rsidR="00740522" w:rsidRPr="002E7000">
        <w:t>2-layer</w:t>
      </w:r>
      <w:r w:rsidR="00A60951" w:rsidRPr="002E7000">
        <w:t xml:space="preserve"> transmission on one multi-panel while the second resource has </w:t>
      </w:r>
      <w:r w:rsidR="00E37527" w:rsidRPr="002E7000">
        <w:t xml:space="preserve">one </w:t>
      </w:r>
      <w:r w:rsidR="00933921" w:rsidRPr="002E7000">
        <w:t>port which</w:t>
      </w:r>
      <w:r w:rsidR="00A60951" w:rsidRPr="002E7000">
        <w:t xml:space="preserve"> could be virtualized, if desired, and mapped to 2 physical antenna</w:t>
      </w:r>
      <w:r w:rsidR="0008186A" w:rsidRPr="002E7000">
        <w:t>s</w:t>
      </w:r>
      <w:r w:rsidR="00A60951" w:rsidRPr="002E7000">
        <w:t xml:space="preserve"> on another multi-panel.</w:t>
      </w:r>
      <w:r w:rsidR="0092178A" w:rsidRPr="002E7000">
        <w:t xml:space="preserve"> The beam direction of each </w:t>
      </w:r>
      <w:r w:rsidR="005A0440" w:rsidRPr="002E7000">
        <w:t xml:space="preserve">SRS resource </w:t>
      </w:r>
      <w:r w:rsidR="0092178A" w:rsidRPr="002E7000">
        <w:t>is governed by the individual spatial filters</w:t>
      </w:r>
      <w:r w:rsidR="00740522" w:rsidRPr="002E7000">
        <w:t xml:space="preserve"> associated with each SRS resource</w:t>
      </w:r>
      <w:r w:rsidR="0092178A" w:rsidRPr="002E7000">
        <w:t>.</w:t>
      </w:r>
    </w:p>
    <w:p w14:paraId="63161DE8" w14:textId="5EB5DC21" w:rsidR="005C0C29" w:rsidRPr="002E7000" w:rsidRDefault="00E33916" w:rsidP="00A60951">
      <w:pPr>
        <w:rPr>
          <w:b/>
        </w:rPr>
      </w:pPr>
      <w:r w:rsidRPr="002E7000">
        <w:rPr>
          <w:b/>
        </w:rPr>
        <w:t>Observation</w:t>
      </w:r>
      <w:r w:rsidR="005C0C29" w:rsidRPr="002E7000">
        <w:rPr>
          <w:b/>
        </w:rPr>
        <w:t>3</w:t>
      </w:r>
      <w:r w:rsidR="002536E8" w:rsidRPr="002E7000">
        <w:rPr>
          <w:b/>
        </w:rPr>
        <w:t>: M</w:t>
      </w:r>
      <w:r w:rsidR="005C0C29" w:rsidRPr="002E7000">
        <w:rPr>
          <w:b/>
        </w:rPr>
        <w:t>ode2</w:t>
      </w:r>
      <w:r w:rsidR="009E4947" w:rsidRPr="002E7000">
        <w:rPr>
          <w:b/>
        </w:rPr>
        <w:t xml:space="preserve"> allows the </w:t>
      </w:r>
      <w:r w:rsidR="00631B55" w:rsidRPr="002E7000">
        <w:rPr>
          <w:b/>
        </w:rPr>
        <w:t xml:space="preserve">UE to be configured with SRS resources with different number of SRS ports within </w:t>
      </w:r>
      <w:r w:rsidR="00145107" w:rsidRPr="002E7000">
        <w:rPr>
          <w:b/>
        </w:rPr>
        <w:t>an</w:t>
      </w:r>
      <w:r w:rsidR="00631B55" w:rsidRPr="002E7000">
        <w:rPr>
          <w:b/>
        </w:rPr>
        <w:t xml:space="preserve"> SRS resource set which has usage set to ‘codebook’ </w:t>
      </w:r>
    </w:p>
    <w:p w14:paraId="2068CBE4" w14:textId="09870C5C" w:rsidR="00A47D11" w:rsidRPr="002E7000" w:rsidRDefault="00A47D11" w:rsidP="00A60951">
      <w:r w:rsidRPr="002E7000">
        <w:rPr>
          <w:lang w:val="en-US"/>
        </w:rPr>
        <w:t>Currently, when SRS usage is set to codebook</w:t>
      </w:r>
      <w:r w:rsidR="00C03584" w:rsidRPr="002E7000">
        <w:rPr>
          <w:lang w:val="en-US"/>
        </w:rPr>
        <w:t>,</w:t>
      </w:r>
      <w:r w:rsidRPr="002E7000">
        <w:rPr>
          <w:lang w:val="en-US"/>
        </w:rPr>
        <w:t xml:space="preserve"> Rel-15 only allows 1 SRS resource set and 2 SRS resources per resource set. Also, it is required that both resources have the same number of ports</w:t>
      </w:r>
      <w:r w:rsidR="00E03865" w:rsidRPr="002E7000">
        <w:rPr>
          <w:lang w:val="en-US"/>
        </w:rPr>
        <w:t xml:space="preserve"> and the same power level</w:t>
      </w:r>
      <w:r w:rsidRPr="002E7000">
        <w:rPr>
          <w:lang w:val="en-US"/>
        </w:rPr>
        <w:t xml:space="preserve">. </w:t>
      </w:r>
      <w:r w:rsidR="00E03865" w:rsidRPr="002E7000">
        <w:rPr>
          <w:lang w:val="en-US"/>
        </w:rPr>
        <w:t xml:space="preserve">There are ongoing discussions in RAN1 to </w:t>
      </w:r>
      <w:r w:rsidR="00171EA7" w:rsidRPr="002E7000">
        <w:rPr>
          <w:lang w:val="en-US"/>
        </w:rPr>
        <w:t>increase</w:t>
      </w:r>
      <w:r w:rsidR="003A1D39" w:rsidRPr="002E7000">
        <w:rPr>
          <w:lang w:val="en-US"/>
        </w:rPr>
        <w:t xml:space="preserve"> both</w:t>
      </w:r>
      <w:r w:rsidR="00171EA7" w:rsidRPr="002E7000">
        <w:rPr>
          <w:lang w:val="en-US"/>
        </w:rPr>
        <w:t xml:space="preserve"> the number of </w:t>
      </w:r>
      <w:r w:rsidR="003A1D39" w:rsidRPr="002E7000">
        <w:rPr>
          <w:lang w:val="en-US"/>
        </w:rPr>
        <w:t>SRS resource sets and the number of SRS resources per set</w:t>
      </w:r>
      <w:r w:rsidRPr="002E7000">
        <w:rPr>
          <w:lang w:val="en-US"/>
        </w:rPr>
        <w:t xml:space="preserve"> in Rel-16</w:t>
      </w:r>
      <w:r w:rsidR="003A1D39" w:rsidRPr="002E7000">
        <w:rPr>
          <w:lang w:val="en-US"/>
        </w:rPr>
        <w:t>.</w:t>
      </w:r>
      <w:r w:rsidR="00E03865" w:rsidRPr="002E7000">
        <w:rPr>
          <w:lang w:val="en-US"/>
        </w:rPr>
        <w:t xml:space="preserve"> </w:t>
      </w:r>
      <w:r w:rsidR="00276110" w:rsidRPr="002E7000">
        <w:rPr>
          <w:lang w:val="en-US"/>
        </w:rPr>
        <w:t>This</w:t>
      </w:r>
      <w:r w:rsidRPr="002E7000">
        <w:rPr>
          <w:lang w:val="en-US"/>
        </w:rPr>
        <w:t xml:space="preserve"> would </w:t>
      </w:r>
      <w:r w:rsidR="00276110" w:rsidRPr="002E7000">
        <w:rPr>
          <w:lang w:val="en-US"/>
        </w:rPr>
        <w:t xml:space="preserve">give </w:t>
      </w:r>
      <w:r w:rsidRPr="002E7000">
        <w:rPr>
          <w:lang w:val="en-US"/>
        </w:rPr>
        <w:t>greater flexibility to sound various number of ports on different panels either in a virtualized or unvirtualized manner. The ability to have multiple SRS resource sets will enable each multi-panel to be allocated its own SRS resource set</w:t>
      </w:r>
      <w:r w:rsidR="004B30CF" w:rsidRPr="002E7000">
        <w:rPr>
          <w:lang w:val="en-US"/>
        </w:rPr>
        <w:t xml:space="preserve"> as illustrated in figure 5</w:t>
      </w:r>
      <w:r w:rsidR="00796E1F" w:rsidRPr="002E7000">
        <w:rPr>
          <w:lang w:val="en-US"/>
        </w:rPr>
        <w:t xml:space="preserve"> and each set can be assigned its own </w:t>
      </w:r>
      <w:r w:rsidRPr="002E7000">
        <w:rPr>
          <w:lang w:val="en-US"/>
        </w:rPr>
        <w:t xml:space="preserve">unique </w:t>
      </w:r>
      <w:r w:rsidR="00E9455A" w:rsidRPr="002E7000">
        <w:rPr>
          <w:lang w:val="en-US"/>
        </w:rPr>
        <w:t xml:space="preserve">power control </w:t>
      </w:r>
      <w:r w:rsidR="00796E1F" w:rsidRPr="002E7000">
        <w:rPr>
          <w:lang w:val="en-US"/>
        </w:rPr>
        <w:t>value</w:t>
      </w:r>
      <w:r w:rsidR="00145107" w:rsidRPr="002E7000">
        <w:rPr>
          <w:lang w:val="en-US"/>
        </w:rPr>
        <w:t xml:space="preserve"> which may prove useful in scenarios where the RF losses between panels </w:t>
      </w:r>
      <w:r w:rsidR="00381FB5" w:rsidRPr="002E7000">
        <w:rPr>
          <w:lang w:val="en-US"/>
        </w:rPr>
        <w:t xml:space="preserve">may </w:t>
      </w:r>
      <w:r w:rsidR="00145107" w:rsidRPr="002E7000">
        <w:rPr>
          <w:lang w:val="en-US"/>
        </w:rPr>
        <w:t xml:space="preserve">vary greatly. </w:t>
      </w:r>
      <w:r w:rsidR="00276110" w:rsidRPr="002E7000">
        <w:rPr>
          <w:lang w:val="en-US"/>
        </w:rPr>
        <w:t>More features of mode2 have yet to be de</w:t>
      </w:r>
      <w:r w:rsidR="00351D89" w:rsidRPr="002E7000">
        <w:rPr>
          <w:lang w:val="en-US"/>
        </w:rPr>
        <w:t>fined</w:t>
      </w:r>
      <w:r w:rsidR="00276110" w:rsidRPr="002E7000">
        <w:rPr>
          <w:lang w:val="en-US"/>
        </w:rPr>
        <w:t xml:space="preserve"> in RAN1. </w:t>
      </w:r>
    </w:p>
    <w:p w14:paraId="23FFA30C" w14:textId="5CFA1544" w:rsidR="00BC1382" w:rsidRPr="002E7000" w:rsidRDefault="00BC1382" w:rsidP="00BB7E7A"/>
    <w:p w14:paraId="010EC0FA" w14:textId="0F159E16" w:rsidR="00A60951" w:rsidRPr="002E7000" w:rsidRDefault="00E9455A" w:rsidP="00BB7E7A">
      <w:r w:rsidRPr="002E7000">
        <w:rPr>
          <w:noProof/>
        </w:rPr>
        <w:drawing>
          <wp:inline distT="0" distB="0" distL="0" distR="0" wp14:anchorId="4B5E731B" wp14:editId="0172A6BC">
            <wp:extent cx="5772150" cy="1712441"/>
            <wp:effectExtent l="0" t="0" r="0" b="254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88189" cy="1717199"/>
                    </a:xfrm>
                    <a:prstGeom prst="rect">
                      <a:avLst/>
                    </a:prstGeom>
                    <a:noFill/>
                  </pic:spPr>
                </pic:pic>
              </a:graphicData>
            </a:graphic>
          </wp:inline>
        </w:drawing>
      </w:r>
    </w:p>
    <w:p w14:paraId="5BDDCC26" w14:textId="75548156" w:rsidR="00E9455A" w:rsidRPr="002E7000" w:rsidRDefault="005E690C" w:rsidP="00E9455A">
      <w:pPr>
        <w:jc w:val="center"/>
      </w:pPr>
      <w:r w:rsidRPr="002E7000">
        <w:t>Figure 5</w:t>
      </w:r>
      <w:r w:rsidR="00E9455A" w:rsidRPr="002E7000">
        <w:t xml:space="preserve"> – Multiple SRS resource sets</w:t>
      </w:r>
    </w:p>
    <w:p w14:paraId="5FCB63DA" w14:textId="4C76731A" w:rsidR="005C0C29" w:rsidRPr="002E7000" w:rsidRDefault="00E33916" w:rsidP="005C0C29">
      <w:pPr>
        <w:rPr>
          <w:b/>
        </w:rPr>
      </w:pPr>
      <w:r w:rsidRPr="002E7000">
        <w:rPr>
          <w:b/>
        </w:rPr>
        <w:t>Observation</w:t>
      </w:r>
      <w:r w:rsidR="005C0C29" w:rsidRPr="002E7000">
        <w:rPr>
          <w:b/>
        </w:rPr>
        <w:t xml:space="preserve">4: </w:t>
      </w:r>
      <w:r w:rsidR="002536E8" w:rsidRPr="002E7000">
        <w:rPr>
          <w:b/>
        </w:rPr>
        <w:t>R</w:t>
      </w:r>
      <w:r w:rsidR="005C0C29" w:rsidRPr="002E7000">
        <w:rPr>
          <w:b/>
        </w:rPr>
        <w:t>elaxing the Rel-15 restriction on the maximum number of SRS resources per SRS resource set and the maximum number of</w:t>
      </w:r>
      <w:r w:rsidR="002536E8" w:rsidRPr="002E7000">
        <w:rPr>
          <w:b/>
        </w:rPr>
        <w:t xml:space="preserve"> allowable</w:t>
      </w:r>
      <w:r w:rsidR="005C0C29" w:rsidRPr="002E7000">
        <w:rPr>
          <w:b/>
        </w:rPr>
        <w:t xml:space="preserve"> SRS resource sets will provide greater flexibility</w:t>
      </w:r>
      <w:r w:rsidR="002536E8" w:rsidRPr="002E7000">
        <w:rPr>
          <w:b/>
        </w:rPr>
        <w:t xml:space="preserve"> </w:t>
      </w:r>
      <w:r w:rsidR="00631B55" w:rsidRPr="002E7000">
        <w:rPr>
          <w:b/>
        </w:rPr>
        <w:t xml:space="preserve">many </w:t>
      </w:r>
      <w:r w:rsidR="002536E8" w:rsidRPr="002E7000">
        <w:rPr>
          <w:b/>
        </w:rPr>
        <w:t>applications</w:t>
      </w:r>
    </w:p>
    <w:p w14:paraId="20108E76" w14:textId="68096DA8" w:rsidR="00BA2361" w:rsidRPr="002E7000" w:rsidRDefault="00CD7994" w:rsidP="00BA2361">
      <w:pPr>
        <w:rPr>
          <w:strike/>
        </w:rPr>
      </w:pPr>
      <w:r w:rsidRPr="002E7000">
        <w:t xml:space="preserve">The benefit in defining these new </w:t>
      </w:r>
      <w:r w:rsidR="002A5AEF" w:rsidRPr="002E7000">
        <w:t>modes is</w:t>
      </w:r>
      <w:r w:rsidRPr="002E7000">
        <w:t xml:space="preserve"> that the</w:t>
      </w:r>
      <w:r w:rsidR="00531A27" w:rsidRPr="002E7000">
        <w:t xml:space="preserve"> use</w:t>
      </w:r>
      <w:r w:rsidR="00F8358B" w:rsidRPr="002E7000">
        <w:t xml:space="preserve"> of</w:t>
      </w:r>
      <w:r w:rsidR="00531A27" w:rsidRPr="002E7000">
        <w:t xml:space="preserve"> mode1 enables full power transmission on </w:t>
      </w:r>
      <w:r w:rsidR="00BD4CE5" w:rsidRPr="002E7000">
        <w:t xml:space="preserve">a </w:t>
      </w:r>
      <w:r w:rsidR="00531A27" w:rsidRPr="002E7000">
        <w:t xml:space="preserve">single layer which was not possible with the power scaling feature defined in Rel-15.  </w:t>
      </w:r>
      <w:r w:rsidR="003F5159" w:rsidRPr="002E7000">
        <w:t>Also, the ability to combine the power of 2 PAs enables the use of lower power PAs to achieve higher UE output powers.</w:t>
      </w:r>
      <w:r w:rsidR="00BA2361" w:rsidRPr="002E7000">
        <w:t xml:space="preserve"> For example, the power of 2 PAs, each transmitting 26dBm, can be combined to give a total output power of 29dBm which may not be practically achievable with a single PA.</w:t>
      </w:r>
    </w:p>
    <w:p w14:paraId="681B5DE4" w14:textId="1BB48BD3" w:rsidR="005016B0" w:rsidRPr="002E7000" w:rsidRDefault="00531A27" w:rsidP="00BB7E7A">
      <w:pPr>
        <w:rPr>
          <w:strike/>
        </w:rPr>
      </w:pPr>
      <w:r w:rsidRPr="002E7000">
        <w:lastRenderedPageBreak/>
        <w:t xml:space="preserve">The introduction of mode2 enables greater flexibility </w:t>
      </w:r>
      <w:r w:rsidR="00CD7994" w:rsidRPr="002E7000">
        <w:t>in how the physical antenna can be signalled</w:t>
      </w:r>
      <w:r w:rsidR="00861BE3" w:rsidRPr="002E7000">
        <w:t>. W</w:t>
      </w:r>
      <w:r w:rsidR="007314F0" w:rsidRPr="002E7000">
        <w:t>ith this mode either single port or multi-port signalling is available.</w:t>
      </w:r>
      <w:r w:rsidR="00BA2361" w:rsidRPr="002E7000">
        <w:t xml:space="preserve"> Currently, a</w:t>
      </w:r>
      <w:r w:rsidR="00A94F49" w:rsidRPr="002E7000">
        <w:t>s mentioned earlier, a</w:t>
      </w:r>
      <w:r w:rsidR="00B72D78" w:rsidRPr="002E7000">
        <w:t>n</w:t>
      </w:r>
      <w:r w:rsidR="00BA2361" w:rsidRPr="002E7000">
        <w:t xml:space="preserve"> </w:t>
      </w:r>
      <w:r w:rsidR="007314F0" w:rsidRPr="002E7000">
        <w:t xml:space="preserve">SRS resource set </w:t>
      </w:r>
      <w:r w:rsidR="00BA2361" w:rsidRPr="002E7000">
        <w:t>has only</w:t>
      </w:r>
      <w:r w:rsidR="007314F0" w:rsidRPr="002E7000">
        <w:t xml:space="preserve"> one </w:t>
      </w:r>
      <w:r w:rsidR="001348F7" w:rsidRPr="002E7000">
        <w:t xml:space="preserve">output </w:t>
      </w:r>
      <w:r w:rsidR="00C03584" w:rsidRPr="002E7000">
        <w:t xml:space="preserve">power </w:t>
      </w:r>
      <w:r w:rsidR="007314F0" w:rsidRPr="002E7000">
        <w:t xml:space="preserve">level </w:t>
      </w:r>
      <w:r w:rsidR="00BA2361" w:rsidRPr="002E7000">
        <w:t xml:space="preserve">for all SRS resources in it. </w:t>
      </w:r>
      <w:r w:rsidR="00C03584" w:rsidRPr="002E7000">
        <w:t>There are discussions in RAN1 to</w:t>
      </w:r>
      <w:r w:rsidR="00BA2361" w:rsidRPr="002E7000">
        <w:t xml:space="preserve"> allow multiple SRS resource sets to be defined. This </w:t>
      </w:r>
      <w:r w:rsidR="00C03584" w:rsidRPr="002E7000">
        <w:t xml:space="preserve">would </w:t>
      </w:r>
      <w:r w:rsidR="00BA2361" w:rsidRPr="002E7000">
        <w:t>prove useful in</w:t>
      </w:r>
      <w:r w:rsidR="007314F0" w:rsidRPr="002E7000">
        <w:t xml:space="preserve"> </w:t>
      </w:r>
      <w:r w:rsidR="001348F7" w:rsidRPr="002E7000">
        <w:t>m</w:t>
      </w:r>
      <w:r w:rsidR="007314F0" w:rsidRPr="002E7000">
        <w:t>ult</w:t>
      </w:r>
      <w:r w:rsidR="002A5AEF" w:rsidRPr="002E7000">
        <w:t>i-</w:t>
      </w:r>
      <w:r w:rsidR="00A81161" w:rsidRPr="002E7000">
        <w:t>panel</w:t>
      </w:r>
      <w:r w:rsidR="002A5AEF" w:rsidRPr="002E7000">
        <w:t xml:space="preserve"> </w:t>
      </w:r>
      <w:r w:rsidR="00A81161" w:rsidRPr="002E7000">
        <w:t xml:space="preserve">applications </w:t>
      </w:r>
      <w:r w:rsidR="00BA2361" w:rsidRPr="002E7000">
        <w:t xml:space="preserve">as </w:t>
      </w:r>
      <w:r w:rsidR="00A81161" w:rsidRPr="002E7000">
        <w:t xml:space="preserve">each </w:t>
      </w:r>
      <w:r w:rsidR="00753D7E" w:rsidRPr="002E7000">
        <w:t xml:space="preserve">panel </w:t>
      </w:r>
      <w:r w:rsidR="00A81161" w:rsidRPr="002E7000">
        <w:t>can have</w:t>
      </w:r>
      <w:r w:rsidR="00A94F49" w:rsidRPr="002E7000">
        <w:t xml:space="preserve"> a</w:t>
      </w:r>
      <w:r w:rsidR="00351D89" w:rsidRPr="002E7000">
        <w:t>n</w:t>
      </w:r>
      <w:r w:rsidR="00A94F49" w:rsidRPr="002E7000">
        <w:t xml:space="preserve"> SRS resource set </w:t>
      </w:r>
      <w:r w:rsidR="00093E52" w:rsidRPr="002E7000">
        <w:t>and</w:t>
      </w:r>
      <w:r w:rsidR="00A81161" w:rsidRPr="002E7000">
        <w:t xml:space="preserve"> different</w:t>
      </w:r>
      <w:r w:rsidR="00093E52" w:rsidRPr="002E7000">
        <w:t xml:space="preserve"> </w:t>
      </w:r>
      <w:r w:rsidR="00753D7E" w:rsidRPr="002E7000">
        <w:t>power</w:t>
      </w:r>
      <w:r w:rsidR="008357E1" w:rsidRPr="002E7000">
        <w:t xml:space="preserve"> level </w:t>
      </w:r>
      <w:r w:rsidR="00093E52" w:rsidRPr="002E7000">
        <w:t>assigned to it. This may prove useful countering the signal imbalance that may exist due to</w:t>
      </w:r>
      <w:r w:rsidR="001348F7" w:rsidRPr="002E7000">
        <w:t xml:space="preserve"> </w:t>
      </w:r>
      <w:r w:rsidR="008357E1" w:rsidRPr="002E7000">
        <w:t>physical layout</w:t>
      </w:r>
      <w:r w:rsidR="003F5159" w:rsidRPr="002E7000">
        <w:t xml:space="preserve"> constraints</w:t>
      </w:r>
      <w:r w:rsidR="00A81161" w:rsidRPr="002E7000">
        <w:t xml:space="preserve">. </w:t>
      </w:r>
      <w:r w:rsidR="00276110" w:rsidRPr="002E7000">
        <w:t>All the features of mode 2 have not been finalized as yet and discussions on this topic are ongoing in RAN1.</w:t>
      </w:r>
    </w:p>
    <w:p w14:paraId="51B2B375" w14:textId="5742CAC8" w:rsidR="00641EFE" w:rsidRPr="002E7000" w:rsidRDefault="00E33916" w:rsidP="00641EFE">
      <w:r w:rsidRPr="002E7000">
        <w:rPr>
          <w:b/>
        </w:rPr>
        <w:t>Observation</w:t>
      </w:r>
      <w:r w:rsidR="00641EFE" w:rsidRPr="002E7000">
        <w:rPr>
          <w:b/>
        </w:rPr>
        <w:t>5:</w:t>
      </w:r>
      <w:r w:rsidR="00762BA7" w:rsidRPr="002E7000">
        <w:rPr>
          <w:b/>
        </w:rPr>
        <w:t xml:space="preserve"> Multi-TX transmission can be used to obtain a</w:t>
      </w:r>
      <w:r w:rsidR="00641EFE" w:rsidRPr="002E7000">
        <w:rPr>
          <w:b/>
        </w:rPr>
        <w:t xml:space="preserve"> Pout=29dBm</w:t>
      </w:r>
      <w:r w:rsidR="00762BA7" w:rsidRPr="002E7000">
        <w:rPr>
          <w:b/>
        </w:rPr>
        <w:t xml:space="preserve"> using 2 lower power PAs</w:t>
      </w:r>
      <w:r w:rsidR="00641EFE" w:rsidRPr="002E7000">
        <w:rPr>
          <w:b/>
        </w:rPr>
        <w:t xml:space="preserve">. </w:t>
      </w:r>
    </w:p>
    <w:p w14:paraId="502CD5E6" w14:textId="648B19B1" w:rsidR="00641EFE" w:rsidRPr="002E7000" w:rsidRDefault="000107B1" w:rsidP="00BB7E7A">
      <w:r>
        <w:t xml:space="preserve">RAN4 </w:t>
      </w:r>
      <w:r w:rsidR="00CB5EFC">
        <w:t xml:space="preserve">needs to work on these new capabilities and enable some form of testable requirements. It should be discussed in currently ongoing </w:t>
      </w:r>
      <w:r w:rsidR="00EF6D47">
        <w:t xml:space="preserve">Rel-16 </w:t>
      </w:r>
      <w:bookmarkStart w:id="1" w:name="_GoBack"/>
      <w:bookmarkEnd w:id="1"/>
      <w:r w:rsidR="00CB5EFC">
        <w:t xml:space="preserve">work items </w:t>
      </w:r>
      <w:r w:rsidR="00EF6D47">
        <w:t xml:space="preserve">what modes are covered. </w:t>
      </w:r>
    </w:p>
    <w:p w14:paraId="3CA22524" w14:textId="77777777" w:rsidR="00911ED3" w:rsidRPr="002E7000" w:rsidRDefault="00683177" w:rsidP="00911ED3">
      <w:pPr>
        <w:pStyle w:val="Heading1"/>
        <w:rPr>
          <w:lang w:val="en-US"/>
        </w:rPr>
      </w:pPr>
      <w:r w:rsidRPr="002E7000">
        <w:rPr>
          <w:lang w:val="en-US"/>
        </w:rPr>
        <w:t>Conclusion</w:t>
      </w:r>
    </w:p>
    <w:p w14:paraId="67BB3BC1" w14:textId="1E362E38" w:rsidR="00641EFE" w:rsidRPr="002E7000" w:rsidRDefault="00DD118A" w:rsidP="00550C63">
      <w:pPr>
        <w:rPr>
          <w:strike/>
        </w:rPr>
      </w:pPr>
      <w:r w:rsidRPr="002E7000">
        <w:t>The power scaling factor introduced in Rel-15 preven</w:t>
      </w:r>
      <w:r w:rsidR="008B01CF" w:rsidRPr="002E7000">
        <w:t>ts full power transmission for non-coherent and partial/non-coherent</w:t>
      </w:r>
      <w:r w:rsidRPr="002E7000">
        <w:t xml:space="preserve"> UE</w:t>
      </w:r>
      <w:r w:rsidR="008B01CF" w:rsidRPr="002E7000">
        <w:t>s</w:t>
      </w:r>
      <w:r w:rsidRPr="002E7000">
        <w:t xml:space="preserve"> transmitting </w:t>
      </w:r>
      <w:r w:rsidR="008B01CF" w:rsidRPr="002E7000">
        <w:t xml:space="preserve">a </w:t>
      </w:r>
      <w:r w:rsidRPr="002E7000">
        <w:t xml:space="preserve">single layer on 2 antenna ports. </w:t>
      </w:r>
      <w:r w:rsidR="008B01CF" w:rsidRPr="002E7000">
        <w:t>To achieve full power transmission</w:t>
      </w:r>
      <w:r w:rsidRPr="002E7000">
        <w:t xml:space="preserve"> Rel-16</w:t>
      </w:r>
      <w:r w:rsidR="008B01CF" w:rsidRPr="002E7000">
        <w:t xml:space="preserve"> has introduced 2 </w:t>
      </w:r>
      <w:r w:rsidR="00C53D11" w:rsidRPr="002E7000">
        <w:t xml:space="preserve">new </w:t>
      </w:r>
      <w:r w:rsidRPr="002E7000">
        <w:t>UE</w:t>
      </w:r>
      <w:r w:rsidR="008B01CF" w:rsidRPr="002E7000">
        <w:t xml:space="preserve"> operation modes unknown as mode 1 and mode</w:t>
      </w:r>
      <w:r w:rsidRPr="002E7000">
        <w:t xml:space="preserve"> 2</w:t>
      </w:r>
      <w:r w:rsidR="008B01CF" w:rsidRPr="002E7000">
        <w:t xml:space="preserve">. Mode1 enables the use of TPMI matrices </w:t>
      </w:r>
      <w:r w:rsidR="00B23133" w:rsidRPr="002E7000">
        <w:t xml:space="preserve">for non-coherent UE </w:t>
      </w:r>
      <w:r w:rsidR="008B01CF" w:rsidRPr="002E7000">
        <w:t>that were only available to coherent UEs in Rel-15. These new TPMI matrices enable the mapping of one logical SRS</w:t>
      </w:r>
      <w:r w:rsidR="005766F8" w:rsidRPr="002E7000">
        <w:t xml:space="preserve"> port to 2 physical antennas</w:t>
      </w:r>
      <w:r w:rsidR="00B23133" w:rsidRPr="002E7000">
        <w:t xml:space="preserve"> in a </w:t>
      </w:r>
      <w:r w:rsidR="00EF6D47" w:rsidRPr="002E7000">
        <w:t>network-controlled</w:t>
      </w:r>
      <w:r w:rsidR="00B23133" w:rsidRPr="002E7000">
        <w:t xml:space="preserve"> manner</w:t>
      </w:r>
      <w:r w:rsidR="005766F8" w:rsidRPr="002E7000">
        <w:t xml:space="preserve">. </w:t>
      </w:r>
      <w:r w:rsidR="00122C15" w:rsidRPr="002E7000">
        <w:t>Diversity enhancing schemes such as S-CDD</w:t>
      </w:r>
      <w:r w:rsidR="00D85023" w:rsidRPr="002E7000">
        <w:t xml:space="preserve"> can be used </w:t>
      </w:r>
      <w:r w:rsidR="00796E1F" w:rsidRPr="002E7000">
        <w:t>on the</w:t>
      </w:r>
      <w:r w:rsidR="00122C15" w:rsidRPr="002E7000">
        <w:t xml:space="preserve"> output of </w:t>
      </w:r>
      <w:r w:rsidR="00D85023" w:rsidRPr="002E7000">
        <w:t xml:space="preserve">one antenna if desired. </w:t>
      </w:r>
      <w:r w:rsidR="00122C15" w:rsidRPr="002E7000">
        <w:t>In m</w:t>
      </w:r>
      <w:r w:rsidR="00D85023" w:rsidRPr="002E7000">
        <w:t xml:space="preserve">ode2 </w:t>
      </w:r>
      <w:r w:rsidR="00D85023" w:rsidRPr="002E7000">
        <w:rPr>
          <w:lang w:val="en-US"/>
        </w:rPr>
        <w:t>the UE can be configured with one SRS resource or multiple SRS resources with differ</w:t>
      </w:r>
      <w:r w:rsidR="00122C15" w:rsidRPr="002E7000">
        <w:rPr>
          <w:lang w:val="en-US"/>
        </w:rPr>
        <w:t>ent number of SRS ports within each</w:t>
      </w:r>
      <w:r w:rsidR="00D85023" w:rsidRPr="002E7000">
        <w:rPr>
          <w:lang w:val="en-US"/>
        </w:rPr>
        <w:t xml:space="preserve"> SRS resource set. In Rel-16 PUSCH data and SRS can be transmit on 1 port and both can be virtualized to 2 physical antennas if desired.</w:t>
      </w:r>
      <w:r w:rsidR="00356104" w:rsidRPr="002E7000">
        <w:rPr>
          <w:lang w:val="en-US"/>
        </w:rPr>
        <w:t xml:space="preserve"> For 2-layer UL transmission the PUSCH data and SRS are mapped to 2 individual antenna ports according to the Rel-15 specifications. </w:t>
      </w:r>
      <w:r w:rsidR="00D85023" w:rsidRPr="002E7000">
        <w:t xml:space="preserve"> </w:t>
      </w:r>
    </w:p>
    <w:p w14:paraId="7A1D54B5" w14:textId="24BAEB43" w:rsidR="00641EFE" w:rsidRPr="002E7000" w:rsidRDefault="0015767E" w:rsidP="00550C63">
      <w:pPr>
        <w:rPr>
          <w:b/>
        </w:rPr>
      </w:pPr>
      <w:r w:rsidRPr="002E7000">
        <w:rPr>
          <w:b/>
        </w:rPr>
        <w:t>The following observations are made:</w:t>
      </w:r>
    </w:p>
    <w:p w14:paraId="4A5E1E5C" w14:textId="77777777" w:rsidR="002536E8" w:rsidRPr="002E7000" w:rsidRDefault="002536E8" w:rsidP="002536E8">
      <w:pPr>
        <w:rPr>
          <w:b/>
        </w:rPr>
      </w:pPr>
      <w:r w:rsidRPr="002E7000">
        <w:rPr>
          <w:b/>
        </w:rPr>
        <w:t>Observation1: PAs used in multi-TX applications must have better SEM performance compared to those operating stand-alone.</w:t>
      </w:r>
    </w:p>
    <w:p w14:paraId="262D362D" w14:textId="29A33CF9" w:rsidR="00641EFE" w:rsidRPr="002E7000" w:rsidRDefault="00E33916" w:rsidP="00641EFE">
      <w:pPr>
        <w:rPr>
          <w:b/>
        </w:rPr>
      </w:pPr>
      <w:r w:rsidRPr="002E7000">
        <w:rPr>
          <w:b/>
        </w:rPr>
        <w:t>Observation</w:t>
      </w:r>
      <w:r w:rsidR="002536E8" w:rsidRPr="002E7000">
        <w:rPr>
          <w:b/>
        </w:rPr>
        <w:t>2: M</w:t>
      </w:r>
      <w:r w:rsidR="00641EFE" w:rsidRPr="002E7000">
        <w:rPr>
          <w:b/>
        </w:rPr>
        <w:t>ode1 enables full power transmission by allowing the use of new TPMI precoders</w:t>
      </w:r>
    </w:p>
    <w:p w14:paraId="3F06C9EB" w14:textId="77777777" w:rsidR="00631B55" w:rsidRPr="002E7000" w:rsidRDefault="00631B55" w:rsidP="00631B55">
      <w:pPr>
        <w:rPr>
          <w:b/>
        </w:rPr>
      </w:pPr>
      <w:r w:rsidRPr="002E7000">
        <w:rPr>
          <w:b/>
        </w:rPr>
        <w:t xml:space="preserve">Observation3: Mode2 allows the UE to be configured with SRS resources with different number of SRS ports within a SRS resource set which has usage set to ‘codebook’ </w:t>
      </w:r>
    </w:p>
    <w:p w14:paraId="79235A87" w14:textId="069CC244" w:rsidR="00641EFE" w:rsidRPr="002E7000" w:rsidRDefault="00E33916" w:rsidP="00641EFE">
      <w:pPr>
        <w:rPr>
          <w:b/>
        </w:rPr>
      </w:pPr>
      <w:r w:rsidRPr="002E7000">
        <w:rPr>
          <w:b/>
        </w:rPr>
        <w:t>Observation</w:t>
      </w:r>
      <w:r w:rsidR="00641EFE" w:rsidRPr="002E7000">
        <w:rPr>
          <w:b/>
        </w:rPr>
        <w:t>4: relaxing the Rel-15 restriction on the maximum number of SRS resources per SRS resource set and the maximum number of SRS resource sets will provide greater flexibility</w:t>
      </w:r>
    </w:p>
    <w:p w14:paraId="63152C85" w14:textId="77777777" w:rsidR="00762BA7" w:rsidRPr="002E7000" w:rsidRDefault="00762BA7" w:rsidP="00762BA7">
      <w:r w:rsidRPr="002E7000">
        <w:rPr>
          <w:b/>
        </w:rPr>
        <w:t xml:space="preserve">Observation5: Multi-TX transmission can be used to obtain a Pout=29dBm using 2 lower power PAs. </w:t>
      </w:r>
    </w:p>
    <w:p w14:paraId="33451030" w14:textId="77777777" w:rsidR="0069757C" w:rsidRPr="002E7000" w:rsidRDefault="0069757C" w:rsidP="00760706">
      <w:pPr>
        <w:pStyle w:val="Heading1"/>
        <w:rPr>
          <w:lang w:val="en-US"/>
        </w:rPr>
      </w:pPr>
      <w:r w:rsidRPr="002E7000">
        <w:rPr>
          <w:lang w:val="en-US"/>
        </w:rPr>
        <w:t>Reference</w:t>
      </w:r>
    </w:p>
    <w:p w14:paraId="32EBC884" w14:textId="28F6A192" w:rsidR="00AE0D9F" w:rsidRPr="002E7000" w:rsidRDefault="00AE0D9F" w:rsidP="00AE0D9F">
      <w:pPr>
        <w:pStyle w:val="Header"/>
        <w:numPr>
          <w:ilvl w:val="0"/>
          <w:numId w:val="2"/>
        </w:numPr>
        <w:tabs>
          <w:tab w:val="left" w:pos="1800"/>
        </w:tabs>
        <w:rPr>
          <w:rFonts w:eastAsia="SimSun" w:cs="Arial"/>
          <w:b w:val="0"/>
          <w:bCs/>
          <w:noProof w:val="0"/>
          <w:szCs w:val="18"/>
          <w:lang w:eastAsia="en-GB"/>
        </w:rPr>
      </w:pPr>
      <w:r w:rsidRPr="002E7000">
        <w:rPr>
          <w:rFonts w:eastAsia="SimSun" w:cs="Arial"/>
          <w:b w:val="0"/>
          <w:bCs/>
          <w:noProof w:val="0"/>
          <w:szCs w:val="18"/>
          <w:lang w:eastAsia="en-GB"/>
        </w:rPr>
        <w:t xml:space="preserve">R1-1901440, “LS on new UE capability for Full TX power UL transmission, RAN WG1 Ad-Hoc Meeting 1901, </w:t>
      </w:r>
      <w:r w:rsidR="00D30548" w:rsidRPr="002E7000">
        <w:rPr>
          <w:rFonts w:eastAsia="SimSun" w:cs="Arial"/>
          <w:b w:val="0"/>
          <w:bCs/>
          <w:noProof w:val="0"/>
          <w:szCs w:val="18"/>
          <w:lang w:eastAsia="en-GB"/>
        </w:rPr>
        <w:t>Taipei</w:t>
      </w:r>
      <w:r w:rsidRPr="002E7000">
        <w:rPr>
          <w:rFonts w:eastAsia="SimSun" w:cs="Arial"/>
          <w:b w:val="0"/>
          <w:bCs/>
          <w:noProof w:val="0"/>
          <w:szCs w:val="18"/>
          <w:lang w:eastAsia="en-GB"/>
        </w:rPr>
        <w:t>, Taiwan, Jan 2019</w:t>
      </w:r>
    </w:p>
    <w:p w14:paraId="00893905" w14:textId="77777777" w:rsidR="003C3121" w:rsidRPr="002E7000" w:rsidRDefault="003C3121" w:rsidP="003C3121">
      <w:pPr>
        <w:pStyle w:val="Header"/>
        <w:tabs>
          <w:tab w:val="left" w:pos="1800"/>
        </w:tabs>
        <w:ind w:left="720"/>
        <w:rPr>
          <w:rFonts w:eastAsia="SimSun" w:cs="Arial"/>
          <w:b w:val="0"/>
          <w:bCs/>
          <w:noProof w:val="0"/>
          <w:szCs w:val="18"/>
          <w:lang w:eastAsia="en-GB"/>
        </w:rPr>
      </w:pPr>
    </w:p>
    <w:p w14:paraId="391ADFEC" w14:textId="19D63F89" w:rsidR="00AE0D9F" w:rsidRPr="002E7000" w:rsidRDefault="00AE0D9F" w:rsidP="00AE0D9F">
      <w:pPr>
        <w:pStyle w:val="Header"/>
        <w:numPr>
          <w:ilvl w:val="0"/>
          <w:numId w:val="2"/>
        </w:numPr>
        <w:tabs>
          <w:tab w:val="left" w:pos="1800"/>
        </w:tabs>
        <w:rPr>
          <w:rFonts w:eastAsia="SimSun" w:cs="Arial"/>
          <w:b w:val="0"/>
          <w:bCs/>
          <w:noProof w:val="0"/>
          <w:szCs w:val="18"/>
          <w:lang w:eastAsia="en-GB"/>
        </w:rPr>
      </w:pPr>
      <w:r w:rsidRPr="002E7000">
        <w:rPr>
          <w:rFonts w:eastAsia="SimSun" w:cs="Arial"/>
          <w:b w:val="0"/>
          <w:bCs/>
          <w:noProof w:val="0"/>
          <w:szCs w:val="18"/>
          <w:lang w:eastAsia="en-GB"/>
        </w:rPr>
        <w:t xml:space="preserve">R4-1901883, </w:t>
      </w:r>
      <w:r w:rsidR="003E51A0" w:rsidRPr="002E7000">
        <w:rPr>
          <w:rFonts w:eastAsia="SimSun" w:cs="Arial"/>
          <w:b w:val="0"/>
          <w:bCs/>
          <w:noProof w:val="0"/>
          <w:szCs w:val="18"/>
          <w:lang w:eastAsia="en-GB"/>
        </w:rPr>
        <w:t>“ON</w:t>
      </w:r>
      <w:r w:rsidRPr="002E7000">
        <w:rPr>
          <w:rFonts w:eastAsia="SimSun" w:cs="Arial"/>
          <w:b w:val="0"/>
          <w:bCs/>
          <w:noProof w:val="0"/>
          <w:szCs w:val="18"/>
          <w:lang w:eastAsia="en-GB"/>
        </w:rPr>
        <w:t xml:space="preserve"> enabling TX diversity with 2 PAs”, RAN WG4#90, Athens, Greece, Mar 2019</w:t>
      </w:r>
    </w:p>
    <w:p w14:paraId="4D0D3E11" w14:textId="432944FB" w:rsidR="003C3121" w:rsidRPr="002E7000" w:rsidRDefault="003C3121" w:rsidP="003C3121">
      <w:pPr>
        <w:pStyle w:val="Header"/>
        <w:tabs>
          <w:tab w:val="left" w:pos="1800"/>
        </w:tabs>
        <w:rPr>
          <w:rFonts w:eastAsia="SimSun" w:cs="Arial"/>
          <w:b w:val="0"/>
          <w:bCs/>
          <w:noProof w:val="0"/>
          <w:szCs w:val="18"/>
          <w:lang w:eastAsia="en-GB"/>
        </w:rPr>
      </w:pPr>
    </w:p>
    <w:p w14:paraId="49D56465" w14:textId="77777777" w:rsidR="00CD7879" w:rsidRPr="002E7000" w:rsidRDefault="00CD7879" w:rsidP="00CD7879">
      <w:pPr>
        <w:pStyle w:val="11BodyText"/>
        <w:numPr>
          <w:ilvl w:val="0"/>
          <w:numId w:val="2"/>
        </w:numPr>
        <w:tabs>
          <w:tab w:val="left" w:pos="1080"/>
        </w:tabs>
        <w:overflowPunct w:val="0"/>
        <w:autoSpaceDE w:val="0"/>
        <w:autoSpaceDN w:val="0"/>
        <w:adjustRightInd w:val="0"/>
        <w:rPr>
          <w:rFonts w:ascii="Times New Roman" w:hAnsi="Times New Roman"/>
          <w:lang w:eastAsia="x-none"/>
        </w:rPr>
      </w:pPr>
      <w:r w:rsidRPr="002E7000">
        <w:rPr>
          <w:rFonts w:ascii="Times New Roman" w:hAnsi="Times New Roman"/>
          <w:lang w:eastAsia="x-none"/>
        </w:rPr>
        <w:t>R1-1715274, “LS on UL diversity transmission for PUSCH with CP-OFDM”, Prague, Czech Republic, Aug 2017</w:t>
      </w:r>
    </w:p>
    <w:p w14:paraId="1A794645" w14:textId="77777777" w:rsidR="00CD7879" w:rsidRPr="002E7000" w:rsidRDefault="00CD7879" w:rsidP="00CD7879">
      <w:pPr>
        <w:pStyle w:val="11BodyText"/>
        <w:numPr>
          <w:ilvl w:val="0"/>
          <w:numId w:val="2"/>
        </w:numPr>
        <w:tabs>
          <w:tab w:val="left" w:pos="1080"/>
        </w:tabs>
        <w:overflowPunct w:val="0"/>
        <w:autoSpaceDE w:val="0"/>
        <w:autoSpaceDN w:val="0"/>
        <w:adjustRightInd w:val="0"/>
        <w:rPr>
          <w:rFonts w:ascii="Times New Roman" w:hAnsi="Times New Roman"/>
          <w:bCs/>
        </w:rPr>
      </w:pPr>
      <w:r w:rsidRPr="002E7000">
        <w:rPr>
          <w:rFonts w:ascii="Times New Roman" w:hAnsi="Times New Roman"/>
          <w:bCs/>
        </w:rPr>
        <w:t>RAN1 Chairman’s Notes, Nagoya, Japan, 18</w:t>
      </w:r>
      <w:r w:rsidRPr="002E7000">
        <w:rPr>
          <w:rFonts w:ascii="Times New Roman" w:hAnsi="Times New Roman"/>
          <w:bCs/>
          <w:vertAlign w:val="superscript"/>
        </w:rPr>
        <w:t>th</w:t>
      </w:r>
      <w:r w:rsidRPr="002E7000">
        <w:rPr>
          <w:rFonts w:ascii="Times New Roman" w:hAnsi="Times New Roman"/>
          <w:bCs/>
        </w:rPr>
        <w:t>-21</w:t>
      </w:r>
      <w:r w:rsidRPr="002E7000">
        <w:rPr>
          <w:rFonts w:ascii="Times New Roman" w:hAnsi="Times New Roman"/>
          <w:bCs/>
          <w:vertAlign w:val="superscript"/>
        </w:rPr>
        <w:t>st</w:t>
      </w:r>
      <w:r w:rsidRPr="002E7000">
        <w:rPr>
          <w:rFonts w:ascii="Times New Roman" w:hAnsi="Times New Roman"/>
          <w:bCs/>
        </w:rPr>
        <w:t>, September 2017</w:t>
      </w:r>
    </w:p>
    <w:p w14:paraId="0055C578" w14:textId="6D759935" w:rsidR="00AE0D9F" w:rsidRPr="002E7000" w:rsidRDefault="00CC3676" w:rsidP="00AE0D9F">
      <w:pPr>
        <w:pStyle w:val="Header"/>
        <w:numPr>
          <w:ilvl w:val="0"/>
          <w:numId w:val="2"/>
        </w:numPr>
        <w:tabs>
          <w:tab w:val="left" w:pos="1800"/>
        </w:tabs>
        <w:rPr>
          <w:rFonts w:eastAsia="SimSun" w:cs="Arial"/>
          <w:b w:val="0"/>
          <w:bCs/>
          <w:noProof w:val="0"/>
          <w:szCs w:val="18"/>
          <w:lang w:eastAsia="en-GB"/>
        </w:rPr>
      </w:pPr>
      <w:r w:rsidRPr="002E7000">
        <w:rPr>
          <w:rFonts w:eastAsia="SimSun" w:cs="Arial"/>
          <w:b w:val="0"/>
          <w:bCs/>
          <w:noProof w:val="0"/>
          <w:szCs w:val="18"/>
          <w:lang w:eastAsia="en-GB"/>
        </w:rPr>
        <w:t xml:space="preserve">R1-1907886, RAN WG1#97, </w:t>
      </w:r>
      <w:r w:rsidR="003E51A0" w:rsidRPr="002E7000">
        <w:rPr>
          <w:rFonts w:eastAsia="SimSun" w:cs="Arial"/>
          <w:b w:val="0"/>
          <w:bCs/>
          <w:noProof w:val="0"/>
          <w:szCs w:val="18"/>
          <w:lang w:eastAsia="en-GB"/>
        </w:rPr>
        <w:t>“Outcome</w:t>
      </w:r>
      <w:r w:rsidRPr="002E7000">
        <w:rPr>
          <w:rFonts w:eastAsia="SimSun" w:cs="Arial"/>
          <w:b w:val="0"/>
          <w:bCs/>
          <w:noProof w:val="0"/>
          <w:szCs w:val="18"/>
          <w:lang w:eastAsia="en-GB"/>
        </w:rPr>
        <w:t xml:space="preserve"> of offline discussion on Full TX Power UL transmission”, Reno, USA, May 2019</w:t>
      </w:r>
    </w:p>
    <w:p w14:paraId="53836CAE" w14:textId="6102E8C7" w:rsidR="00BA0372" w:rsidRPr="002E7000" w:rsidRDefault="00D85EE2" w:rsidP="00AE0D9F">
      <w:pPr>
        <w:pStyle w:val="Header"/>
        <w:numPr>
          <w:ilvl w:val="0"/>
          <w:numId w:val="2"/>
        </w:numPr>
        <w:tabs>
          <w:tab w:val="left" w:pos="1800"/>
        </w:tabs>
        <w:rPr>
          <w:rFonts w:eastAsia="SimSun" w:cs="Arial"/>
          <w:b w:val="0"/>
          <w:bCs/>
          <w:noProof w:val="0"/>
          <w:szCs w:val="18"/>
          <w:lang w:eastAsia="en-GB"/>
        </w:rPr>
      </w:pPr>
      <w:r w:rsidRPr="002E7000">
        <w:rPr>
          <w:rFonts w:eastAsia="SimSun" w:cs="Arial"/>
          <w:b w:val="0"/>
          <w:bCs/>
          <w:noProof w:val="0"/>
          <w:szCs w:val="18"/>
          <w:lang w:eastAsia="en-GB"/>
        </w:rPr>
        <w:t>R4-1907967 “TX EVM change”, Qualcomm, RAN4#92 Slovenia, 2019</w:t>
      </w: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8DBBE" w14:textId="77777777" w:rsidR="00CD363E" w:rsidRDefault="00CD363E">
      <w:r>
        <w:separator/>
      </w:r>
    </w:p>
  </w:endnote>
  <w:endnote w:type="continuationSeparator" w:id="0">
    <w:p w14:paraId="788A33AE" w14:textId="77777777" w:rsidR="00CD363E" w:rsidRDefault="00CD3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F615A7" w:rsidRDefault="00F615A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F615A7" w:rsidRDefault="00F615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389E714C" w:rsidR="00F615A7" w:rsidRDefault="00F615A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14:paraId="60D140DE" w14:textId="77777777" w:rsidR="00F615A7" w:rsidRDefault="00F615A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3D6B2" w14:textId="77777777" w:rsidR="00CD363E" w:rsidRDefault="00CD363E">
      <w:r>
        <w:separator/>
      </w:r>
    </w:p>
  </w:footnote>
  <w:footnote w:type="continuationSeparator" w:id="0">
    <w:p w14:paraId="1E27D981" w14:textId="77777777" w:rsidR="00CD363E" w:rsidRDefault="00CD36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777058"/>
    <w:multiLevelType w:val="hybridMultilevel"/>
    <w:tmpl w:val="853E2CC8"/>
    <w:lvl w:ilvl="0" w:tplc="4CC0B934">
      <w:start w:val="1"/>
      <w:numFmt w:val="bullet"/>
      <w:lvlText w:val="−"/>
      <w:lvlJc w:val="left"/>
      <w:pPr>
        <w:tabs>
          <w:tab w:val="num" w:pos="720"/>
        </w:tabs>
        <w:ind w:left="720" w:hanging="360"/>
      </w:pPr>
      <w:rPr>
        <w:rFonts w:ascii="Calibre Regular" w:hAnsi="Calibre Regular" w:hint="default"/>
      </w:rPr>
    </w:lvl>
    <w:lvl w:ilvl="1" w:tplc="90A829FC" w:tentative="1">
      <w:start w:val="1"/>
      <w:numFmt w:val="bullet"/>
      <w:lvlText w:val="−"/>
      <w:lvlJc w:val="left"/>
      <w:pPr>
        <w:tabs>
          <w:tab w:val="num" w:pos="1440"/>
        </w:tabs>
        <w:ind w:left="1440" w:hanging="360"/>
      </w:pPr>
      <w:rPr>
        <w:rFonts w:ascii="Calibre Regular" w:hAnsi="Calibre Regular" w:hint="default"/>
      </w:rPr>
    </w:lvl>
    <w:lvl w:ilvl="2" w:tplc="0FA23862">
      <w:start w:val="1"/>
      <w:numFmt w:val="bullet"/>
      <w:lvlText w:val="−"/>
      <w:lvlJc w:val="left"/>
      <w:pPr>
        <w:tabs>
          <w:tab w:val="num" w:pos="2160"/>
        </w:tabs>
        <w:ind w:left="2160" w:hanging="360"/>
      </w:pPr>
      <w:rPr>
        <w:rFonts w:ascii="Calibre Regular" w:hAnsi="Calibre Regular" w:hint="default"/>
      </w:rPr>
    </w:lvl>
    <w:lvl w:ilvl="3" w:tplc="6D1AE21C" w:tentative="1">
      <w:start w:val="1"/>
      <w:numFmt w:val="bullet"/>
      <w:lvlText w:val="−"/>
      <w:lvlJc w:val="left"/>
      <w:pPr>
        <w:tabs>
          <w:tab w:val="num" w:pos="2880"/>
        </w:tabs>
        <w:ind w:left="2880" w:hanging="360"/>
      </w:pPr>
      <w:rPr>
        <w:rFonts w:ascii="Calibre Regular" w:hAnsi="Calibre Regular" w:hint="default"/>
      </w:rPr>
    </w:lvl>
    <w:lvl w:ilvl="4" w:tplc="E9C60F92" w:tentative="1">
      <w:start w:val="1"/>
      <w:numFmt w:val="bullet"/>
      <w:lvlText w:val="−"/>
      <w:lvlJc w:val="left"/>
      <w:pPr>
        <w:tabs>
          <w:tab w:val="num" w:pos="3600"/>
        </w:tabs>
        <w:ind w:left="3600" w:hanging="360"/>
      </w:pPr>
      <w:rPr>
        <w:rFonts w:ascii="Calibre Regular" w:hAnsi="Calibre Regular" w:hint="default"/>
      </w:rPr>
    </w:lvl>
    <w:lvl w:ilvl="5" w:tplc="BE60FC68" w:tentative="1">
      <w:start w:val="1"/>
      <w:numFmt w:val="bullet"/>
      <w:lvlText w:val="−"/>
      <w:lvlJc w:val="left"/>
      <w:pPr>
        <w:tabs>
          <w:tab w:val="num" w:pos="4320"/>
        </w:tabs>
        <w:ind w:left="4320" w:hanging="360"/>
      </w:pPr>
      <w:rPr>
        <w:rFonts w:ascii="Calibre Regular" w:hAnsi="Calibre Regular" w:hint="default"/>
      </w:rPr>
    </w:lvl>
    <w:lvl w:ilvl="6" w:tplc="A516B23C" w:tentative="1">
      <w:start w:val="1"/>
      <w:numFmt w:val="bullet"/>
      <w:lvlText w:val="−"/>
      <w:lvlJc w:val="left"/>
      <w:pPr>
        <w:tabs>
          <w:tab w:val="num" w:pos="5040"/>
        </w:tabs>
        <w:ind w:left="5040" w:hanging="360"/>
      </w:pPr>
      <w:rPr>
        <w:rFonts w:ascii="Calibre Regular" w:hAnsi="Calibre Regular" w:hint="default"/>
      </w:rPr>
    </w:lvl>
    <w:lvl w:ilvl="7" w:tplc="36A84408" w:tentative="1">
      <w:start w:val="1"/>
      <w:numFmt w:val="bullet"/>
      <w:lvlText w:val="−"/>
      <w:lvlJc w:val="left"/>
      <w:pPr>
        <w:tabs>
          <w:tab w:val="num" w:pos="5760"/>
        </w:tabs>
        <w:ind w:left="5760" w:hanging="360"/>
      </w:pPr>
      <w:rPr>
        <w:rFonts w:ascii="Calibre Regular" w:hAnsi="Calibre Regular" w:hint="default"/>
      </w:rPr>
    </w:lvl>
    <w:lvl w:ilvl="8" w:tplc="3F8AF82E" w:tentative="1">
      <w:start w:val="1"/>
      <w:numFmt w:val="bullet"/>
      <w:lvlText w:val="−"/>
      <w:lvlJc w:val="left"/>
      <w:pPr>
        <w:tabs>
          <w:tab w:val="num" w:pos="6480"/>
        </w:tabs>
        <w:ind w:left="6480" w:hanging="360"/>
      </w:pPr>
      <w:rPr>
        <w:rFonts w:ascii="Calibre Regular" w:hAnsi="Calibre Regular"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0B64B4"/>
    <w:multiLevelType w:val="hybridMultilevel"/>
    <w:tmpl w:val="10F6085A"/>
    <w:lvl w:ilvl="0" w:tplc="CE286382">
      <w:start w:val="1"/>
      <w:numFmt w:val="bullet"/>
      <w:lvlText w:val="−"/>
      <w:lvlJc w:val="left"/>
      <w:pPr>
        <w:tabs>
          <w:tab w:val="num" w:pos="720"/>
        </w:tabs>
        <w:ind w:left="720" w:hanging="360"/>
      </w:pPr>
      <w:rPr>
        <w:rFonts w:ascii="Calibre Regular" w:hAnsi="Calibre Regular" w:hint="default"/>
      </w:rPr>
    </w:lvl>
    <w:lvl w:ilvl="1" w:tplc="021C4C1E">
      <w:start w:val="1"/>
      <w:numFmt w:val="bullet"/>
      <w:lvlText w:val="−"/>
      <w:lvlJc w:val="left"/>
      <w:pPr>
        <w:tabs>
          <w:tab w:val="num" w:pos="1440"/>
        </w:tabs>
        <w:ind w:left="1440" w:hanging="360"/>
      </w:pPr>
      <w:rPr>
        <w:rFonts w:ascii="Calibre Regular" w:hAnsi="Calibre Regular" w:hint="default"/>
      </w:rPr>
    </w:lvl>
    <w:lvl w:ilvl="2" w:tplc="79EA801E" w:tentative="1">
      <w:start w:val="1"/>
      <w:numFmt w:val="bullet"/>
      <w:lvlText w:val="−"/>
      <w:lvlJc w:val="left"/>
      <w:pPr>
        <w:tabs>
          <w:tab w:val="num" w:pos="2160"/>
        </w:tabs>
        <w:ind w:left="2160" w:hanging="360"/>
      </w:pPr>
      <w:rPr>
        <w:rFonts w:ascii="Calibre Regular" w:hAnsi="Calibre Regular" w:hint="default"/>
      </w:rPr>
    </w:lvl>
    <w:lvl w:ilvl="3" w:tplc="75780410" w:tentative="1">
      <w:start w:val="1"/>
      <w:numFmt w:val="bullet"/>
      <w:lvlText w:val="−"/>
      <w:lvlJc w:val="left"/>
      <w:pPr>
        <w:tabs>
          <w:tab w:val="num" w:pos="2880"/>
        </w:tabs>
        <w:ind w:left="2880" w:hanging="360"/>
      </w:pPr>
      <w:rPr>
        <w:rFonts w:ascii="Calibre Regular" w:hAnsi="Calibre Regular" w:hint="default"/>
      </w:rPr>
    </w:lvl>
    <w:lvl w:ilvl="4" w:tplc="5C2C7F98" w:tentative="1">
      <w:start w:val="1"/>
      <w:numFmt w:val="bullet"/>
      <w:lvlText w:val="−"/>
      <w:lvlJc w:val="left"/>
      <w:pPr>
        <w:tabs>
          <w:tab w:val="num" w:pos="3600"/>
        </w:tabs>
        <w:ind w:left="3600" w:hanging="360"/>
      </w:pPr>
      <w:rPr>
        <w:rFonts w:ascii="Calibre Regular" w:hAnsi="Calibre Regular" w:hint="default"/>
      </w:rPr>
    </w:lvl>
    <w:lvl w:ilvl="5" w:tplc="92288866" w:tentative="1">
      <w:start w:val="1"/>
      <w:numFmt w:val="bullet"/>
      <w:lvlText w:val="−"/>
      <w:lvlJc w:val="left"/>
      <w:pPr>
        <w:tabs>
          <w:tab w:val="num" w:pos="4320"/>
        </w:tabs>
        <w:ind w:left="4320" w:hanging="360"/>
      </w:pPr>
      <w:rPr>
        <w:rFonts w:ascii="Calibre Regular" w:hAnsi="Calibre Regular" w:hint="default"/>
      </w:rPr>
    </w:lvl>
    <w:lvl w:ilvl="6" w:tplc="1ED4FEDA" w:tentative="1">
      <w:start w:val="1"/>
      <w:numFmt w:val="bullet"/>
      <w:lvlText w:val="−"/>
      <w:lvlJc w:val="left"/>
      <w:pPr>
        <w:tabs>
          <w:tab w:val="num" w:pos="5040"/>
        </w:tabs>
        <w:ind w:left="5040" w:hanging="360"/>
      </w:pPr>
      <w:rPr>
        <w:rFonts w:ascii="Calibre Regular" w:hAnsi="Calibre Regular" w:hint="default"/>
      </w:rPr>
    </w:lvl>
    <w:lvl w:ilvl="7" w:tplc="9A764ABA" w:tentative="1">
      <w:start w:val="1"/>
      <w:numFmt w:val="bullet"/>
      <w:lvlText w:val="−"/>
      <w:lvlJc w:val="left"/>
      <w:pPr>
        <w:tabs>
          <w:tab w:val="num" w:pos="5760"/>
        </w:tabs>
        <w:ind w:left="5760" w:hanging="360"/>
      </w:pPr>
      <w:rPr>
        <w:rFonts w:ascii="Calibre Regular" w:hAnsi="Calibre Regular" w:hint="default"/>
      </w:rPr>
    </w:lvl>
    <w:lvl w:ilvl="8" w:tplc="39D02DDC" w:tentative="1">
      <w:start w:val="1"/>
      <w:numFmt w:val="bullet"/>
      <w:lvlText w:val="−"/>
      <w:lvlJc w:val="left"/>
      <w:pPr>
        <w:tabs>
          <w:tab w:val="num" w:pos="6480"/>
        </w:tabs>
        <w:ind w:left="6480" w:hanging="360"/>
      </w:pPr>
      <w:rPr>
        <w:rFonts w:ascii="Calibre Regular" w:hAnsi="Calibre Regular" w:hint="default"/>
      </w:rPr>
    </w:lvl>
  </w:abstractNum>
  <w:abstractNum w:abstractNumId="35"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8"/>
  </w:num>
  <w:num w:numId="3">
    <w:abstractNumId w:val="32"/>
  </w:num>
  <w:num w:numId="4">
    <w:abstractNumId w:val="36"/>
  </w:num>
  <w:num w:numId="5">
    <w:abstractNumId w:val="25"/>
  </w:num>
  <w:num w:numId="6">
    <w:abstractNumId w:val="13"/>
  </w:num>
  <w:num w:numId="7">
    <w:abstractNumId w:val="6"/>
  </w:num>
  <w:num w:numId="8">
    <w:abstractNumId w:val="30"/>
  </w:num>
  <w:num w:numId="9">
    <w:abstractNumId w:val="14"/>
  </w:num>
  <w:num w:numId="10">
    <w:abstractNumId w:val="23"/>
  </w:num>
  <w:num w:numId="11">
    <w:abstractNumId w:val="37"/>
  </w:num>
  <w:num w:numId="12">
    <w:abstractNumId w:val="35"/>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9"/>
  </w:num>
  <w:num w:numId="16">
    <w:abstractNumId w:val="8"/>
  </w:num>
  <w:num w:numId="17">
    <w:abstractNumId w:val="21"/>
  </w:num>
  <w:num w:numId="18">
    <w:abstractNumId w:val="22"/>
  </w:num>
  <w:num w:numId="19">
    <w:abstractNumId w:val="15"/>
  </w:num>
  <w:num w:numId="20">
    <w:abstractNumId w:val="27"/>
  </w:num>
  <w:num w:numId="21">
    <w:abstractNumId w:val="33"/>
  </w:num>
  <w:num w:numId="22">
    <w:abstractNumId w:val="26"/>
  </w:num>
  <w:num w:numId="23">
    <w:abstractNumId w:val="16"/>
  </w:num>
  <w:num w:numId="24">
    <w:abstractNumId w:val="1"/>
  </w:num>
  <w:num w:numId="25">
    <w:abstractNumId w:val="24"/>
  </w:num>
  <w:num w:numId="26">
    <w:abstractNumId w:val="31"/>
  </w:num>
  <w:num w:numId="27">
    <w:abstractNumId w:val="11"/>
  </w:num>
  <w:num w:numId="28">
    <w:abstractNumId w:val="4"/>
  </w:num>
  <w:num w:numId="29">
    <w:abstractNumId w:val="5"/>
  </w:num>
  <w:num w:numId="30">
    <w:abstractNumId w:val="19"/>
  </w:num>
  <w:num w:numId="31">
    <w:abstractNumId w:val="29"/>
  </w:num>
  <w:num w:numId="32">
    <w:abstractNumId w:val="20"/>
  </w:num>
  <w:num w:numId="33">
    <w:abstractNumId w:val="2"/>
  </w:num>
  <w:num w:numId="34">
    <w:abstractNumId w:val="18"/>
  </w:num>
  <w:num w:numId="35">
    <w:abstractNumId w:val="3"/>
  </w:num>
  <w:num w:numId="36">
    <w:abstractNumId w:val="7"/>
  </w:num>
  <w:num w:numId="37">
    <w:abstractNumId w:val="12"/>
  </w:num>
  <w:num w:numId="38">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7B1"/>
    <w:rsid w:val="00010EE0"/>
    <w:rsid w:val="0001169E"/>
    <w:rsid w:val="0001181D"/>
    <w:rsid w:val="00011B0B"/>
    <w:rsid w:val="00011C44"/>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511D"/>
    <w:rsid w:val="00045318"/>
    <w:rsid w:val="00045774"/>
    <w:rsid w:val="00046092"/>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B21"/>
    <w:rsid w:val="000562FA"/>
    <w:rsid w:val="000601B0"/>
    <w:rsid w:val="00062B7F"/>
    <w:rsid w:val="00062E5A"/>
    <w:rsid w:val="00062F52"/>
    <w:rsid w:val="00063621"/>
    <w:rsid w:val="00063999"/>
    <w:rsid w:val="000641D3"/>
    <w:rsid w:val="0006427B"/>
    <w:rsid w:val="000642D1"/>
    <w:rsid w:val="0006440F"/>
    <w:rsid w:val="00064A80"/>
    <w:rsid w:val="00066EEB"/>
    <w:rsid w:val="00066F4C"/>
    <w:rsid w:val="0007009D"/>
    <w:rsid w:val="00070561"/>
    <w:rsid w:val="00070ECC"/>
    <w:rsid w:val="00070F4C"/>
    <w:rsid w:val="000713A4"/>
    <w:rsid w:val="000724BF"/>
    <w:rsid w:val="000737DA"/>
    <w:rsid w:val="000752FB"/>
    <w:rsid w:val="000753CE"/>
    <w:rsid w:val="0007555F"/>
    <w:rsid w:val="00076DB9"/>
    <w:rsid w:val="00077FE0"/>
    <w:rsid w:val="0008186A"/>
    <w:rsid w:val="00082CE8"/>
    <w:rsid w:val="000837A5"/>
    <w:rsid w:val="000841A8"/>
    <w:rsid w:val="00084301"/>
    <w:rsid w:val="0008452A"/>
    <w:rsid w:val="00084888"/>
    <w:rsid w:val="00084BE4"/>
    <w:rsid w:val="0008544F"/>
    <w:rsid w:val="00085B3A"/>
    <w:rsid w:val="00085C24"/>
    <w:rsid w:val="00085DB7"/>
    <w:rsid w:val="0008682B"/>
    <w:rsid w:val="0008685A"/>
    <w:rsid w:val="00087D47"/>
    <w:rsid w:val="00090BB8"/>
    <w:rsid w:val="00091017"/>
    <w:rsid w:val="00092919"/>
    <w:rsid w:val="00092DCA"/>
    <w:rsid w:val="00092E07"/>
    <w:rsid w:val="000937D2"/>
    <w:rsid w:val="00093E52"/>
    <w:rsid w:val="00093FAD"/>
    <w:rsid w:val="000940C0"/>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561C"/>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5F"/>
    <w:rsid w:val="000D66BB"/>
    <w:rsid w:val="000D6D63"/>
    <w:rsid w:val="000D7224"/>
    <w:rsid w:val="000D75F9"/>
    <w:rsid w:val="000D7652"/>
    <w:rsid w:val="000D7B61"/>
    <w:rsid w:val="000E0602"/>
    <w:rsid w:val="000E0649"/>
    <w:rsid w:val="000E1041"/>
    <w:rsid w:val="000E1046"/>
    <w:rsid w:val="000E209D"/>
    <w:rsid w:val="000E2C23"/>
    <w:rsid w:val="000E3B40"/>
    <w:rsid w:val="000E3D46"/>
    <w:rsid w:val="000E3DD1"/>
    <w:rsid w:val="000E4A11"/>
    <w:rsid w:val="000E4F19"/>
    <w:rsid w:val="000E5260"/>
    <w:rsid w:val="000E58CF"/>
    <w:rsid w:val="000E5C51"/>
    <w:rsid w:val="000E61A1"/>
    <w:rsid w:val="000E6208"/>
    <w:rsid w:val="000E7250"/>
    <w:rsid w:val="000F0E0B"/>
    <w:rsid w:val="000F1DA5"/>
    <w:rsid w:val="000F240E"/>
    <w:rsid w:val="000F2823"/>
    <w:rsid w:val="000F4D06"/>
    <w:rsid w:val="000F5995"/>
    <w:rsid w:val="000F5A74"/>
    <w:rsid w:val="000F5B98"/>
    <w:rsid w:val="000F5EAE"/>
    <w:rsid w:val="000F5EAF"/>
    <w:rsid w:val="000F6A08"/>
    <w:rsid w:val="000F6CAA"/>
    <w:rsid w:val="000F751B"/>
    <w:rsid w:val="000F771B"/>
    <w:rsid w:val="000F78E2"/>
    <w:rsid w:val="000F79D0"/>
    <w:rsid w:val="001005AA"/>
    <w:rsid w:val="0010071D"/>
    <w:rsid w:val="001015C3"/>
    <w:rsid w:val="00101D29"/>
    <w:rsid w:val="00102320"/>
    <w:rsid w:val="00102563"/>
    <w:rsid w:val="00103CC7"/>
    <w:rsid w:val="00104258"/>
    <w:rsid w:val="00104417"/>
    <w:rsid w:val="00104B7E"/>
    <w:rsid w:val="00104CC4"/>
    <w:rsid w:val="001052C7"/>
    <w:rsid w:val="00106117"/>
    <w:rsid w:val="00106E80"/>
    <w:rsid w:val="00106E8E"/>
    <w:rsid w:val="001072D7"/>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2281"/>
    <w:rsid w:val="00122C15"/>
    <w:rsid w:val="00122E47"/>
    <w:rsid w:val="00123360"/>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ECD"/>
    <w:rsid w:val="00131FD4"/>
    <w:rsid w:val="00133FDC"/>
    <w:rsid w:val="001348F7"/>
    <w:rsid w:val="0013513B"/>
    <w:rsid w:val="0013546D"/>
    <w:rsid w:val="00135A1D"/>
    <w:rsid w:val="00135E13"/>
    <w:rsid w:val="00136BDF"/>
    <w:rsid w:val="0013754C"/>
    <w:rsid w:val="00140AF5"/>
    <w:rsid w:val="00142046"/>
    <w:rsid w:val="00142612"/>
    <w:rsid w:val="00142B3F"/>
    <w:rsid w:val="001430CD"/>
    <w:rsid w:val="0014330A"/>
    <w:rsid w:val="0014350C"/>
    <w:rsid w:val="001438E0"/>
    <w:rsid w:val="00144026"/>
    <w:rsid w:val="00144095"/>
    <w:rsid w:val="001445CF"/>
    <w:rsid w:val="001450EE"/>
    <w:rsid w:val="00145107"/>
    <w:rsid w:val="001467B0"/>
    <w:rsid w:val="001469DA"/>
    <w:rsid w:val="00146D37"/>
    <w:rsid w:val="00147203"/>
    <w:rsid w:val="0014774C"/>
    <w:rsid w:val="001506E1"/>
    <w:rsid w:val="00150F51"/>
    <w:rsid w:val="001516D8"/>
    <w:rsid w:val="00151825"/>
    <w:rsid w:val="001518B3"/>
    <w:rsid w:val="00151ABA"/>
    <w:rsid w:val="0015239C"/>
    <w:rsid w:val="00152718"/>
    <w:rsid w:val="00154025"/>
    <w:rsid w:val="001553C6"/>
    <w:rsid w:val="001555A2"/>
    <w:rsid w:val="001566EB"/>
    <w:rsid w:val="0015760F"/>
    <w:rsid w:val="0015767E"/>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2B"/>
    <w:rsid w:val="0016638A"/>
    <w:rsid w:val="001679C5"/>
    <w:rsid w:val="00170570"/>
    <w:rsid w:val="0017086E"/>
    <w:rsid w:val="001709C3"/>
    <w:rsid w:val="00170C0A"/>
    <w:rsid w:val="00171D36"/>
    <w:rsid w:val="00171EA7"/>
    <w:rsid w:val="00172B04"/>
    <w:rsid w:val="00172EC1"/>
    <w:rsid w:val="00173761"/>
    <w:rsid w:val="0017426D"/>
    <w:rsid w:val="00174BD8"/>
    <w:rsid w:val="00175031"/>
    <w:rsid w:val="001752D4"/>
    <w:rsid w:val="00175473"/>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97D"/>
    <w:rsid w:val="00182838"/>
    <w:rsid w:val="00183169"/>
    <w:rsid w:val="001838D5"/>
    <w:rsid w:val="001842E4"/>
    <w:rsid w:val="001843AE"/>
    <w:rsid w:val="0018452B"/>
    <w:rsid w:val="00184C49"/>
    <w:rsid w:val="0018555B"/>
    <w:rsid w:val="00185573"/>
    <w:rsid w:val="00185893"/>
    <w:rsid w:val="001859B9"/>
    <w:rsid w:val="00186488"/>
    <w:rsid w:val="0018788E"/>
    <w:rsid w:val="00187E14"/>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B72"/>
    <w:rsid w:val="001A658B"/>
    <w:rsid w:val="001A6604"/>
    <w:rsid w:val="001A69BB"/>
    <w:rsid w:val="001A6F1D"/>
    <w:rsid w:val="001A79A4"/>
    <w:rsid w:val="001B0041"/>
    <w:rsid w:val="001B0F6F"/>
    <w:rsid w:val="001B12B5"/>
    <w:rsid w:val="001B14E6"/>
    <w:rsid w:val="001B180F"/>
    <w:rsid w:val="001B20AD"/>
    <w:rsid w:val="001B2837"/>
    <w:rsid w:val="001B2F8C"/>
    <w:rsid w:val="001B3096"/>
    <w:rsid w:val="001B3291"/>
    <w:rsid w:val="001B3BA6"/>
    <w:rsid w:val="001B46B8"/>
    <w:rsid w:val="001B4DD5"/>
    <w:rsid w:val="001B58A4"/>
    <w:rsid w:val="001B5E1A"/>
    <w:rsid w:val="001B5E69"/>
    <w:rsid w:val="001B62C4"/>
    <w:rsid w:val="001B6982"/>
    <w:rsid w:val="001B6B77"/>
    <w:rsid w:val="001B7859"/>
    <w:rsid w:val="001C064D"/>
    <w:rsid w:val="001C22CF"/>
    <w:rsid w:val="001C2721"/>
    <w:rsid w:val="001C2DA6"/>
    <w:rsid w:val="001C3588"/>
    <w:rsid w:val="001C3FC8"/>
    <w:rsid w:val="001C41EF"/>
    <w:rsid w:val="001C4AAD"/>
    <w:rsid w:val="001C4FFC"/>
    <w:rsid w:val="001C5DB8"/>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57E7"/>
    <w:rsid w:val="001E584A"/>
    <w:rsid w:val="001E5D8B"/>
    <w:rsid w:val="001E6A6A"/>
    <w:rsid w:val="001E6CA2"/>
    <w:rsid w:val="001E7343"/>
    <w:rsid w:val="001F02FC"/>
    <w:rsid w:val="001F099B"/>
    <w:rsid w:val="001F16E6"/>
    <w:rsid w:val="001F1AFB"/>
    <w:rsid w:val="001F1E8A"/>
    <w:rsid w:val="001F2B9E"/>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2AB4"/>
    <w:rsid w:val="00203625"/>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BA7"/>
    <w:rsid w:val="00222DC6"/>
    <w:rsid w:val="00223FE1"/>
    <w:rsid w:val="002247C0"/>
    <w:rsid w:val="00227A95"/>
    <w:rsid w:val="00227CCC"/>
    <w:rsid w:val="00230C94"/>
    <w:rsid w:val="00230EB7"/>
    <w:rsid w:val="00230EC6"/>
    <w:rsid w:val="00231913"/>
    <w:rsid w:val="00231DBF"/>
    <w:rsid w:val="00233973"/>
    <w:rsid w:val="00234C5F"/>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7369"/>
    <w:rsid w:val="0024788C"/>
    <w:rsid w:val="00247A9F"/>
    <w:rsid w:val="0025086E"/>
    <w:rsid w:val="00251B67"/>
    <w:rsid w:val="00252058"/>
    <w:rsid w:val="00252C9A"/>
    <w:rsid w:val="002536E8"/>
    <w:rsid w:val="002539B1"/>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9D3"/>
    <w:rsid w:val="00274205"/>
    <w:rsid w:val="002743BB"/>
    <w:rsid w:val="0027453E"/>
    <w:rsid w:val="00274925"/>
    <w:rsid w:val="0027504A"/>
    <w:rsid w:val="00276110"/>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5AEF"/>
    <w:rsid w:val="002A679B"/>
    <w:rsid w:val="002A6ED0"/>
    <w:rsid w:val="002A795A"/>
    <w:rsid w:val="002B00B0"/>
    <w:rsid w:val="002B017F"/>
    <w:rsid w:val="002B02CB"/>
    <w:rsid w:val="002B05C7"/>
    <w:rsid w:val="002B11FF"/>
    <w:rsid w:val="002B15C6"/>
    <w:rsid w:val="002B1C8F"/>
    <w:rsid w:val="002B22F3"/>
    <w:rsid w:val="002B2C2C"/>
    <w:rsid w:val="002B2C81"/>
    <w:rsid w:val="002B40E0"/>
    <w:rsid w:val="002B43AE"/>
    <w:rsid w:val="002B4D6F"/>
    <w:rsid w:val="002B583B"/>
    <w:rsid w:val="002B619A"/>
    <w:rsid w:val="002B6395"/>
    <w:rsid w:val="002B6D13"/>
    <w:rsid w:val="002B75CC"/>
    <w:rsid w:val="002C034B"/>
    <w:rsid w:val="002C2638"/>
    <w:rsid w:val="002C27CE"/>
    <w:rsid w:val="002C3188"/>
    <w:rsid w:val="002C347D"/>
    <w:rsid w:val="002C410F"/>
    <w:rsid w:val="002C4A9B"/>
    <w:rsid w:val="002C4E58"/>
    <w:rsid w:val="002C4F68"/>
    <w:rsid w:val="002C767F"/>
    <w:rsid w:val="002C7B2B"/>
    <w:rsid w:val="002C7C8C"/>
    <w:rsid w:val="002D087B"/>
    <w:rsid w:val="002D0BCE"/>
    <w:rsid w:val="002D0C99"/>
    <w:rsid w:val="002D10C9"/>
    <w:rsid w:val="002D175B"/>
    <w:rsid w:val="002D2365"/>
    <w:rsid w:val="002D282D"/>
    <w:rsid w:val="002D4919"/>
    <w:rsid w:val="002D4A80"/>
    <w:rsid w:val="002D5209"/>
    <w:rsid w:val="002D5562"/>
    <w:rsid w:val="002D5832"/>
    <w:rsid w:val="002D59FB"/>
    <w:rsid w:val="002D5DDD"/>
    <w:rsid w:val="002D72B1"/>
    <w:rsid w:val="002E02E5"/>
    <w:rsid w:val="002E14DD"/>
    <w:rsid w:val="002E173F"/>
    <w:rsid w:val="002E1E6C"/>
    <w:rsid w:val="002E272E"/>
    <w:rsid w:val="002E2BE9"/>
    <w:rsid w:val="002E2E41"/>
    <w:rsid w:val="002E3AA0"/>
    <w:rsid w:val="002E3BD7"/>
    <w:rsid w:val="002E407E"/>
    <w:rsid w:val="002E4880"/>
    <w:rsid w:val="002E4D02"/>
    <w:rsid w:val="002E55A2"/>
    <w:rsid w:val="002E7000"/>
    <w:rsid w:val="002E72B6"/>
    <w:rsid w:val="002E7660"/>
    <w:rsid w:val="002E7B67"/>
    <w:rsid w:val="002F037C"/>
    <w:rsid w:val="002F1101"/>
    <w:rsid w:val="002F1791"/>
    <w:rsid w:val="002F2D90"/>
    <w:rsid w:val="002F3A50"/>
    <w:rsid w:val="002F4090"/>
    <w:rsid w:val="002F4302"/>
    <w:rsid w:val="002F48A3"/>
    <w:rsid w:val="002F48FD"/>
    <w:rsid w:val="002F4A63"/>
    <w:rsid w:val="002F4B15"/>
    <w:rsid w:val="002F4C00"/>
    <w:rsid w:val="002F4DE5"/>
    <w:rsid w:val="002F4E4C"/>
    <w:rsid w:val="002F4EDB"/>
    <w:rsid w:val="002F59F1"/>
    <w:rsid w:val="002F7510"/>
    <w:rsid w:val="002F7A78"/>
    <w:rsid w:val="002F7E3E"/>
    <w:rsid w:val="00300433"/>
    <w:rsid w:val="00300A06"/>
    <w:rsid w:val="00300A1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1040B"/>
    <w:rsid w:val="00310C25"/>
    <w:rsid w:val="003111C1"/>
    <w:rsid w:val="003113B1"/>
    <w:rsid w:val="00311D14"/>
    <w:rsid w:val="003123AE"/>
    <w:rsid w:val="00312E2B"/>
    <w:rsid w:val="00312EF8"/>
    <w:rsid w:val="003146B2"/>
    <w:rsid w:val="00314DB7"/>
    <w:rsid w:val="00315017"/>
    <w:rsid w:val="0031524C"/>
    <w:rsid w:val="00315756"/>
    <w:rsid w:val="00316A23"/>
    <w:rsid w:val="0031703E"/>
    <w:rsid w:val="00317EBE"/>
    <w:rsid w:val="00320459"/>
    <w:rsid w:val="00320B8A"/>
    <w:rsid w:val="0032202F"/>
    <w:rsid w:val="003222B0"/>
    <w:rsid w:val="00322EBD"/>
    <w:rsid w:val="00323F04"/>
    <w:rsid w:val="00324937"/>
    <w:rsid w:val="00325C68"/>
    <w:rsid w:val="00325D20"/>
    <w:rsid w:val="00325F3C"/>
    <w:rsid w:val="00326129"/>
    <w:rsid w:val="003267B9"/>
    <w:rsid w:val="00327B03"/>
    <w:rsid w:val="00327EF9"/>
    <w:rsid w:val="00327FCD"/>
    <w:rsid w:val="00330015"/>
    <w:rsid w:val="00330243"/>
    <w:rsid w:val="0033115B"/>
    <w:rsid w:val="0033192E"/>
    <w:rsid w:val="00331C11"/>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157C"/>
    <w:rsid w:val="00341C62"/>
    <w:rsid w:val="00341F00"/>
    <w:rsid w:val="0034277D"/>
    <w:rsid w:val="003427F4"/>
    <w:rsid w:val="003436E2"/>
    <w:rsid w:val="00345CDD"/>
    <w:rsid w:val="00345FF9"/>
    <w:rsid w:val="0034613F"/>
    <w:rsid w:val="0034670C"/>
    <w:rsid w:val="00346BAD"/>
    <w:rsid w:val="003478F5"/>
    <w:rsid w:val="0034795A"/>
    <w:rsid w:val="003479CB"/>
    <w:rsid w:val="003501F9"/>
    <w:rsid w:val="0035071D"/>
    <w:rsid w:val="003508AD"/>
    <w:rsid w:val="00351D89"/>
    <w:rsid w:val="00352B34"/>
    <w:rsid w:val="00352D6C"/>
    <w:rsid w:val="00352FDC"/>
    <w:rsid w:val="00353D8F"/>
    <w:rsid w:val="00354768"/>
    <w:rsid w:val="00356104"/>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EDE"/>
    <w:rsid w:val="00367FA2"/>
    <w:rsid w:val="00370146"/>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1FB5"/>
    <w:rsid w:val="003820A3"/>
    <w:rsid w:val="00382216"/>
    <w:rsid w:val="0038237B"/>
    <w:rsid w:val="0038297C"/>
    <w:rsid w:val="00383432"/>
    <w:rsid w:val="00383571"/>
    <w:rsid w:val="00383B7A"/>
    <w:rsid w:val="003848A4"/>
    <w:rsid w:val="003848F9"/>
    <w:rsid w:val="00384A94"/>
    <w:rsid w:val="00385043"/>
    <w:rsid w:val="00385D57"/>
    <w:rsid w:val="003861E5"/>
    <w:rsid w:val="00387BA4"/>
    <w:rsid w:val="003914CC"/>
    <w:rsid w:val="00391CF7"/>
    <w:rsid w:val="003920F0"/>
    <w:rsid w:val="00392F02"/>
    <w:rsid w:val="00393306"/>
    <w:rsid w:val="0039354A"/>
    <w:rsid w:val="003936BA"/>
    <w:rsid w:val="003936E9"/>
    <w:rsid w:val="00394151"/>
    <w:rsid w:val="00394216"/>
    <w:rsid w:val="00394CC9"/>
    <w:rsid w:val="0039533D"/>
    <w:rsid w:val="003957B9"/>
    <w:rsid w:val="003959B1"/>
    <w:rsid w:val="003961A7"/>
    <w:rsid w:val="0039620C"/>
    <w:rsid w:val="00396303"/>
    <w:rsid w:val="003964AE"/>
    <w:rsid w:val="00396FEC"/>
    <w:rsid w:val="003A0414"/>
    <w:rsid w:val="003A06B7"/>
    <w:rsid w:val="003A196D"/>
    <w:rsid w:val="003A1D39"/>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2358"/>
    <w:rsid w:val="003B38AF"/>
    <w:rsid w:val="003B3BF9"/>
    <w:rsid w:val="003B3C00"/>
    <w:rsid w:val="003B3D77"/>
    <w:rsid w:val="003B53D8"/>
    <w:rsid w:val="003B5714"/>
    <w:rsid w:val="003B5F4D"/>
    <w:rsid w:val="003B73B3"/>
    <w:rsid w:val="003C06DA"/>
    <w:rsid w:val="003C1867"/>
    <w:rsid w:val="003C1FA5"/>
    <w:rsid w:val="003C2936"/>
    <w:rsid w:val="003C2F7F"/>
    <w:rsid w:val="003C3121"/>
    <w:rsid w:val="003C37C2"/>
    <w:rsid w:val="003C3DBA"/>
    <w:rsid w:val="003C4768"/>
    <w:rsid w:val="003C4E3D"/>
    <w:rsid w:val="003C51B6"/>
    <w:rsid w:val="003C5963"/>
    <w:rsid w:val="003C6439"/>
    <w:rsid w:val="003C675A"/>
    <w:rsid w:val="003C717E"/>
    <w:rsid w:val="003C7753"/>
    <w:rsid w:val="003C7927"/>
    <w:rsid w:val="003D0020"/>
    <w:rsid w:val="003D0345"/>
    <w:rsid w:val="003D0655"/>
    <w:rsid w:val="003D1991"/>
    <w:rsid w:val="003D1B40"/>
    <w:rsid w:val="003D1EFA"/>
    <w:rsid w:val="003D246C"/>
    <w:rsid w:val="003D282E"/>
    <w:rsid w:val="003D2A12"/>
    <w:rsid w:val="003D3513"/>
    <w:rsid w:val="003D4988"/>
    <w:rsid w:val="003D6314"/>
    <w:rsid w:val="003D6C47"/>
    <w:rsid w:val="003D6D63"/>
    <w:rsid w:val="003D6F0B"/>
    <w:rsid w:val="003D75EC"/>
    <w:rsid w:val="003D7986"/>
    <w:rsid w:val="003D7D06"/>
    <w:rsid w:val="003D7FCF"/>
    <w:rsid w:val="003E0B2D"/>
    <w:rsid w:val="003E0C07"/>
    <w:rsid w:val="003E1B49"/>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159"/>
    <w:rsid w:val="003F5320"/>
    <w:rsid w:val="003F54D2"/>
    <w:rsid w:val="003F5ADC"/>
    <w:rsid w:val="003F759A"/>
    <w:rsid w:val="00400A74"/>
    <w:rsid w:val="00400A7A"/>
    <w:rsid w:val="00400EC1"/>
    <w:rsid w:val="00402A31"/>
    <w:rsid w:val="00402E88"/>
    <w:rsid w:val="00403F04"/>
    <w:rsid w:val="00403F22"/>
    <w:rsid w:val="004045B3"/>
    <w:rsid w:val="004056A3"/>
    <w:rsid w:val="00405F8D"/>
    <w:rsid w:val="00406103"/>
    <w:rsid w:val="00406FFD"/>
    <w:rsid w:val="004073F3"/>
    <w:rsid w:val="004079A4"/>
    <w:rsid w:val="00407A40"/>
    <w:rsid w:val="0041007C"/>
    <w:rsid w:val="004105DB"/>
    <w:rsid w:val="00411DE9"/>
    <w:rsid w:val="00412AAB"/>
    <w:rsid w:val="004148FF"/>
    <w:rsid w:val="00414B8E"/>
    <w:rsid w:val="00414BD6"/>
    <w:rsid w:val="00415201"/>
    <w:rsid w:val="00415F58"/>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D9A"/>
    <w:rsid w:val="00427B17"/>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DCB"/>
    <w:rsid w:val="00440133"/>
    <w:rsid w:val="004401A4"/>
    <w:rsid w:val="004404BA"/>
    <w:rsid w:val="0044086E"/>
    <w:rsid w:val="004409EF"/>
    <w:rsid w:val="00440C6D"/>
    <w:rsid w:val="0044125C"/>
    <w:rsid w:val="00441C17"/>
    <w:rsid w:val="004422CD"/>
    <w:rsid w:val="00442A68"/>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E13"/>
    <w:rsid w:val="00454AEE"/>
    <w:rsid w:val="00454DF4"/>
    <w:rsid w:val="00454FAD"/>
    <w:rsid w:val="00455884"/>
    <w:rsid w:val="00455B49"/>
    <w:rsid w:val="00455FFC"/>
    <w:rsid w:val="00456226"/>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3355"/>
    <w:rsid w:val="00474729"/>
    <w:rsid w:val="00474A9F"/>
    <w:rsid w:val="00475ACA"/>
    <w:rsid w:val="00476B1E"/>
    <w:rsid w:val="00477349"/>
    <w:rsid w:val="00477764"/>
    <w:rsid w:val="00477AFF"/>
    <w:rsid w:val="00480894"/>
    <w:rsid w:val="00481079"/>
    <w:rsid w:val="004813A4"/>
    <w:rsid w:val="00481968"/>
    <w:rsid w:val="00482540"/>
    <w:rsid w:val="00482B06"/>
    <w:rsid w:val="0048385F"/>
    <w:rsid w:val="00483CF6"/>
    <w:rsid w:val="0048493E"/>
    <w:rsid w:val="0048495E"/>
    <w:rsid w:val="00485273"/>
    <w:rsid w:val="004852CF"/>
    <w:rsid w:val="0048547C"/>
    <w:rsid w:val="004854C9"/>
    <w:rsid w:val="00486E77"/>
    <w:rsid w:val="00487896"/>
    <w:rsid w:val="00487F89"/>
    <w:rsid w:val="004904AE"/>
    <w:rsid w:val="004907E1"/>
    <w:rsid w:val="0049139C"/>
    <w:rsid w:val="004913D6"/>
    <w:rsid w:val="00491413"/>
    <w:rsid w:val="00491A6E"/>
    <w:rsid w:val="00491CF2"/>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CBF"/>
    <w:rsid w:val="004A10D4"/>
    <w:rsid w:val="004A1268"/>
    <w:rsid w:val="004A187C"/>
    <w:rsid w:val="004A204A"/>
    <w:rsid w:val="004A27C2"/>
    <w:rsid w:val="004A38DE"/>
    <w:rsid w:val="004A4369"/>
    <w:rsid w:val="004A454B"/>
    <w:rsid w:val="004A508E"/>
    <w:rsid w:val="004A6F6E"/>
    <w:rsid w:val="004A7B1E"/>
    <w:rsid w:val="004B0B75"/>
    <w:rsid w:val="004B0F26"/>
    <w:rsid w:val="004B1F23"/>
    <w:rsid w:val="004B23C3"/>
    <w:rsid w:val="004B2BA7"/>
    <w:rsid w:val="004B30CF"/>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E4D"/>
    <w:rsid w:val="004C226E"/>
    <w:rsid w:val="004C321F"/>
    <w:rsid w:val="004C5555"/>
    <w:rsid w:val="004C589A"/>
    <w:rsid w:val="004C6A32"/>
    <w:rsid w:val="004C72C7"/>
    <w:rsid w:val="004C7862"/>
    <w:rsid w:val="004C7A22"/>
    <w:rsid w:val="004D0378"/>
    <w:rsid w:val="004D0E1A"/>
    <w:rsid w:val="004D18B0"/>
    <w:rsid w:val="004D2692"/>
    <w:rsid w:val="004D3AF6"/>
    <w:rsid w:val="004D40A3"/>
    <w:rsid w:val="004D4218"/>
    <w:rsid w:val="004D48DE"/>
    <w:rsid w:val="004D4BFB"/>
    <w:rsid w:val="004D5664"/>
    <w:rsid w:val="004D5AF2"/>
    <w:rsid w:val="004D6385"/>
    <w:rsid w:val="004D67CB"/>
    <w:rsid w:val="004D71A9"/>
    <w:rsid w:val="004D7FA8"/>
    <w:rsid w:val="004E11EE"/>
    <w:rsid w:val="004E1BA2"/>
    <w:rsid w:val="004E1D25"/>
    <w:rsid w:val="004E2BE0"/>
    <w:rsid w:val="004E2F39"/>
    <w:rsid w:val="004E373A"/>
    <w:rsid w:val="004E49C5"/>
    <w:rsid w:val="004E4CC0"/>
    <w:rsid w:val="004E5449"/>
    <w:rsid w:val="004E5AFE"/>
    <w:rsid w:val="004E5B05"/>
    <w:rsid w:val="004E5CB3"/>
    <w:rsid w:val="004E6967"/>
    <w:rsid w:val="004E7064"/>
    <w:rsid w:val="004E7277"/>
    <w:rsid w:val="004E78C8"/>
    <w:rsid w:val="004F0DE3"/>
    <w:rsid w:val="004F14EE"/>
    <w:rsid w:val="004F26E5"/>
    <w:rsid w:val="004F2825"/>
    <w:rsid w:val="004F37F0"/>
    <w:rsid w:val="004F4207"/>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6B0"/>
    <w:rsid w:val="00501D13"/>
    <w:rsid w:val="005022F4"/>
    <w:rsid w:val="00502A3E"/>
    <w:rsid w:val="00503AB2"/>
    <w:rsid w:val="00504DC2"/>
    <w:rsid w:val="00505386"/>
    <w:rsid w:val="00505EBD"/>
    <w:rsid w:val="005068E4"/>
    <w:rsid w:val="00506CAE"/>
    <w:rsid w:val="005072D5"/>
    <w:rsid w:val="00507514"/>
    <w:rsid w:val="00507781"/>
    <w:rsid w:val="00507B00"/>
    <w:rsid w:val="00507B9C"/>
    <w:rsid w:val="00511476"/>
    <w:rsid w:val="005114F8"/>
    <w:rsid w:val="00512F02"/>
    <w:rsid w:val="005148FF"/>
    <w:rsid w:val="00515ED0"/>
    <w:rsid w:val="005167E8"/>
    <w:rsid w:val="00517507"/>
    <w:rsid w:val="00521297"/>
    <w:rsid w:val="00524D75"/>
    <w:rsid w:val="005250F6"/>
    <w:rsid w:val="00525E31"/>
    <w:rsid w:val="00526D84"/>
    <w:rsid w:val="0052707B"/>
    <w:rsid w:val="0052741E"/>
    <w:rsid w:val="0052782A"/>
    <w:rsid w:val="005301C5"/>
    <w:rsid w:val="00530752"/>
    <w:rsid w:val="00531A27"/>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4008E"/>
    <w:rsid w:val="005403D8"/>
    <w:rsid w:val="00540AD9"/>
    <w:rsid w:val="00543144"/>
    <w:rsid w:val="00543E5A"/>
    <w:rsid w:val="00544F7A"/>
    <w:rsid w:val="00545421"/>
    <w:rsid w:val="00547B0A"/>
    <w:rsid w:val="005508CF"/>
    <w:rsid w:val="00550C63"/>
    <w:rsid w:val="00550CA9"/>
    <w:rsid w:val="00551763"/>
    <w:rsid w:val="00551FCA"/>
    <w:rsid w:val="00553913"/>
    <w:rsid w:val="00553EE9"/>
    <w:rsid w:val="00554B68"/>
    <w:rsid w:val="00554F48"/>
    <w:rsid w:val="00554F7D"/>
    <w:rsid w:val="0055544F"/>
    <w:rsid w:val="005567C9"/>
    <w:rsid w:val="005576F7"/>
    <w:rsid w:val="00560716"/>
    <w:rsid w:val="005607A9"/>
    <w:rsid w:val="00561361"/>
    <w:rsid w:val="0056188B"/>
    <w:rsid w:val="0056193F"/>
    <w:rsid w:val="00562C3D"/>
    <w:rsid w:val="00563F76"/>
    <w:rsid w:val="005648D7"/>
    <w:rsid w:val="005651FF"/>
    <w:rsid w:val="00565866"/>
    <w:rsid w:val="00566252"/>
    <w:rsid w:val="005665D5"/>
    <w:rsid w:val="00566FF4"/>
    <w:rsid w:val="0056774B"/>
    <w:rsid w:val="00570586"/>
    <w:rsid w:val="00570E35"/>
    <w:rsid w:val="005719CC"/>
    <w:rsid w:val="00572669"/>
    <w:rsid w:val="00574420"/>
    <w:rsid w:val="00575024"/>
    <w:rsid w:val="005753CB"/>
    <w:rsid w:val="00575ED0"/>
    <w:rsid w:val="005766F8"/>
    <w:rsid w:val="00576D83"/>
    <w:rsid w:val="00577F0A"/>
    <w:rsid w:val="0058025A"/>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440"/>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062C"/>
    <w:rsid w:val="005B2460"/>
    <w:rsid w:val="005B2A64"/>
    <w:rsid w:val="005B2EA0"/>
    <w:rsid w:val="005B3367"/>
    <w:rsid w:val="005B398A"/>
    <w:rsid w:val="005B3CC6"/>
    <w:rsid w:val="005B4429"/>
    <w:rsid w:val="005B448B"/>
    <w:rsid w:val="005B572F"/>
    <w:rsid w:val="005B57F2"/>
    <w:rsid w:val="005B5F79"/>
    <w:rsid w:val="005B618B"/>
    <w:rsid w:val="005B6863"/>
    <w:rsid w:val="005B6A10"/>
    <w:rsid w:val="005B792A"/>
    <w:rsid w:val="005B7B9A"/>
    <w:rsid w:val="005C0C29"/>
    <w:rsid w:val="005C1017"/>
    <w:rsid w:val="005C1723"/>
    <w:rsid w:val="005C222C"/>
    <w:rsid w:val="005C2BB3"/>
    <w:rsid w:val="005C30D3"/>
    <w:rsid w:val="005C3FD8"/>
    <w:rsid w:val="005C3FF1"/>
    <w:rsid w:val="005C4F0D"/>
    <w:rsid w:val="005C578D"/>
    <w:rsid w:val="005C5F4D"/>
    <w:rsid w:val="005C6EA5"/>
    <w:rsid w:val="005C7956"/>
    <w:rsid w:val="005D0D35"/>
    <w:rsid w:val="005D0F42"/>
    <w:rsid w:val="005D12F9"/>
    <w:rsid w:val="005D1853"/>
    <w:rsid w:val="005D1A0F"/>
    <w:rsid w:val="005D2787"/>
    <w:rsid w:val="005D3511"/>
    <w:rsid w:val="005D43A1"/>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90C"/>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B55"/>
    <w:rsid w:val="00631E58"/>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1EFE"/>
    <w:rsid w:val="006436F3"/>
    <w:rsid w:val="00643CD3"/>
    <w:rsid w:val="006445E9"/>
    <w:rsid w:val="00644C82"/>
    <w:rsid w:val="006451AA"/>
    <w:rsid w:val="00645A51"/>
    <w:rsid w:val="006475CB"/>
    <w:rsid w:val="00647D90"/>
    <w:rsid w:val="00650B89"/>
    <w:rsid w:val="006523AD"/>
    <w:rsid w:val="006523C6"/>
    <w:rsid w:val="0065251A"/>
    <w:rsid w:val="00652BD8"/>
    <w:rsid w:val="006531CE"/>
    <w:rsid w:val="006551F3"/>
    <w:rsid w:val="00655E22"/>
    <w:rsid w:val="00656812"/>
    <w:rsid w:val="0065711D"/>
    <w:rsid w:val="0065744C"/>
    <w:rsid w:val="006606E2"/>
    <w:rsid w:val="0066087E"/>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2D24"/>
    <w:rsid w:val="00683177"/>
    <w:rsid w:val="00683F7E"/>
    <w:rsid w:val="006843AF"/>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AD"/>
    <w:rsid w:val="00695D19"/>
    <w:rsid w:val="00696D35"/>
    <w:rsid w:val="00697217"/>
    <w:rsid w:val="0069757C"/>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DA3"/>
    <w:rsid w:val="006B0041"/>
    <w:rsid w:val="006B03AA"/>
    <w:rsid w:val="006B07C9"/>
    <w:rsid w:val="006B083A"/>
    <w:rsid w:val="006B08DE"/>
    <w:rsid w:val="006B0935"/>
    <w:rsid w:val="006B0EF8"/>
    <w:rsid w:val="006B1846"/>
    <w:rsid w:val="006B1AF6"/>
    <w:rsid w:val="006B1C59"/>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3239"/>
    <w:rsid w:val="006D3405"/>
    <w:rsid w:val="006D3D0F"/>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6D6D"/>
    <w:rsid w:val="006E6FE5"/>
    <w:rsid w:val="006E778F"/>
    <w:rsid w:val="006E7859"/>
    <w:rsid w:val="006E79EA"/>
    <w:rsid w:val="006F0356"/>
    <w:rsid w:val="006F0ACE"/>
    <w:rsid w:val="006F1573"/>
    <w:rsid w:val="006F1825"/>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895"/>
    <w:rsid w:val="00713DCE"/>
    <w:rsid w:val="00715F13"/>
    <w:rsid w:val="00716001"/>
    <w:rsid w:val="00717280"/>
    <w:rsid w:val="00717421"/>
    <w:rsid w:val="00717AAF"/>
    <w:rsid w:val="00721399"/>
    <w:rsid w:val="0072166E"/>
    <w:rsid w:val="00721679"/>
    <w:rsid w:val="00721D85"/>
    <w:rsid w:val="007225D7"/>
    <w:rsid w:val="00722F02"/>
    <w:rsid w:val="007231A4"/>
    <w:rsid w:val="00723562"/>
    <w:rsid w:val="007236F8"/>
    <w:rsid w:val="00723AFC"/>
    <w:rsid w:val="0072477F"/>
    <w:rsid w:val="007255B7"/>
    <w:rsid w:val="0072610A"/>
    <w:rsid w:val="0072650C"/>
    <w:rsid w:val="0072664F"/>
    <w:rsid w:val="00727071"/>
    <w:rsid w:val="00727242"/>
    <w:rsid w:val="00727E21"/>
    <w:rsid w:val="007314F0"/>
    <w:rsid w:val="00731C7D"/>
    <w:rsid w:val="00731D02"/>
    <w:rsid w:val="0073334B"/>
    <w:rsid w:val="00733BC3"/>
    <w:rsid w:val="0073413D"/>
    <w:rsid w:val="0073419D"/>
    <w:rsid w:val="007345AE"/>
    <w:rsid w:val="00737096"/>
    <w:rsid w:val="0073715A"/>
    <w:rsid w:val="00740522"/>
    <w:rsid w:val="007415A8"/>
    <w:rsid w:val="0074249E"/>
    <w:rsid w:val="00742990"/>
    <w:rsid w:val="00742C16"/>
    <w:rsid w:val="0074320E"/>
    <w:rsid w:val="00743C5F"/>
    <w:rsid w:val="007441EF"/>
    <w:rsid w:val="00744469"/>
    <w:rsid w:val="007444C0"/>
    <w:rsid w:val="00744569"/>
    <w:rsid w:val="00744B8C"/>
    <w:rsid w:val="007452CF"/>
    <w:rsid w:val="0074697D"/>
    <w:rsid w:val="00746CD2"/>
    <w:rsid w:val="00746F72"/>
    <w:rsid w:val="00746FCA"/>
    <w:rsid w:val="007500BD"/>
    <w:rsid w:val="007500E4"/>
    <w:rsid w:val="0075088A"/>
    <w:rsid w:val="007512FF"/>
    <w:rsid w:val="00751315"/>
    <w:rsid w:val="00751CF0"/>
    <w:rsid w:val="00752C41"/>
    <w:rsid w:val="00753A6B"/>
    <w:rsid w:val="00753D7E"/>
    <w:rsid w:val="00754455"/>
    <w:rsid w:val="00754D7D"/>
    <w:rsid w:val="007550B4"/>
    <w:rsid w:val="007551C2"/>
    <w:rsid w:val="00756780"/>
    <w:rsid w:val="00756CE2"/>
    <w:rsid w:val="00757096"/>
    <w:rsid w:val="00757853"/>
    <w:rsid w:val="00757F25"/>
    <w:rsid w:val="007601B6"/>
    <w:rsid w:val="00760706"/>
    <w:rsid w:val="007620EB"/>
    <w:rsid w:val="0076227C"/>
    <w:rsid w:val="00762588"/>
    <w:rsid w:val="0076274A"/>
    <w:rsid w:val="00762BA7"/>
    <w:rsid w:val="00763558"/>
    <w:rsid w:val="007637D2"/>
    <w:rsid w:val="0076433C"/>
    <w:rsid w:val="007661D2"/>
    <w:rsid w:val="007663F2"/>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317A"/>
    <w:rsid w:val="00783C68"/>
    <w:rsid w:val="00783D91"/>
    <w:rsid w:val="00784197"/>
    <w:rsid w:val="007846F4"/>
    <w:rsid w:val="007850F8"/>
    <w:rsid w:val="00785352"/>
    <w:rsid w:val="00786A8F"/>
    <w:rsid w:val="007871DE"/>
    <w:rsid w:val="007874FC"/>
    <w:rsid w:val="00787D7E"/>
    <w:rsid w:val="007902F8"/>
    <w:rsid w:val="00790777"/>
    <w:rsid w:val="00790FEC"/>
    <w:rsid w:val="00791761"/>
    <w:rsid w:val="00791C20"/>
    <w:rsid w:val="00791CC0"/>
    <w:rsid w:val="007933AC"/>
    <w:rsid w:val="007940DE"/>
    <w:rsid w:val="007942B9"/>
    <w:rsid w:val="0079485D"/>
    <w:rsid w:val="007951C7"/>
    <w:rsid w:val="007954A4"/>
    <w:rsid w:val="00795625"/>
    <w:rsid w:val="00795D8A"/>
    <w:rsid w:val="00796E1F"/>
    <w:rsid w:val="00796FBD"/>
    <w:rsid w:val="0079758B"/>
    <w:rsid w:val="007A065B"/>
    <w:rsid w:val="007A0920"/>
    <w:rsid w:val="007A0BD1"/>
    <w:rsid w:val="007A2462"/>
    <w:rsid w:val="007A2D75"/>
    <w:rsid w:val="007A323B"/>
    <w:rsid w:val="007A393B"/>
    <w:rsid w:val="007A4535"/>
    <w:rsid w:val="007A5B0B"/>
    <w:rsid w:val="007A5E77"/>
    <w:rsid w:val="007A66A5"/>
    <w:rsid w:val="007A6809"/>
    <w:rsid w:val="007A6AC6"/>
    <w:rsid w:val="007A6B41"/>
    <w:rsid w:val="007A6B76"/>
    <w:rsid w:val="007A726A"/>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C01B6"/>
    <w:rsid w:val="007C0BEF"/>
    <w:rsid w:val="007C1173"/>
    <w:rsid w:val="007C118E"/>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D0151"/>
    <w:rsid w:val="007D131B"/>
    <w:rsid w:val="007D1A10"/>
    <w:rsid w:val="007D1ABE"/>
    <w:rsid w:val="007D2173"/>
    <w:rsid w:val="007D2289"/>
    <w:rsid w:val="007D2899"/>
    <w:rsid w:val="007D47CD"/>
    <w:rsid w:val="007D63B5"/>
    <w:rsid w:val="007D6CE6"/>
    <w:rsid w:val="007E0113"/>
    <w:rsid w:val="007E1193"/>
    <w:rsid w:val="007E1275"/>
    <w:rsid w:val="007E211F"/>
    <w:rsid w:val="007E2178"/>
    <w:rsid w:val="007E2BAF"/>
    <w:rsid w:val="007E32D9"/>
    <w:rsid w:val="007E3565"/>
    <w:rsid w:val="007E4524"/>
    <w:rsid w:val="007E57E8"/>
    <w:rsid w:val="007E5B8D"/>
    <w:rsid w:val="007E6511"/>
    <w:rsid w:val="007E7001"/>
    <w:rsid w:val="007E74E4"/>
    <w:rsid w:val="007F047B"/>
    <w:rsid w:val="007F0B26"/>
    <w:rsid w:val="007F1496"/>
    <w:rsid w:val="007F275A"/>
    <w:rsid w:val="007F51CC"/>
    <w:rsid w:val="007F5383"/>
    <w:rsid w:val="007F55E2"/>
    <w:rsid w:val="007F5F94"/>
    <w:rsid w:val="007F7987"/>
    <w:rsid w:val="008000EE"/>
    <w:rsid w:val="00800130"/>
    <w:rsid w:val="0080055A"/>
    <w:rsid w:val="0080089F"/>
    <w:rsid w:val="008017C0"/>
    <w:rsid w:val="00801901"/>
    <w:rsid w:val="00801B67"/>
    <w:rsid w:val="00801D20"/>
    <w:rsid w:val="00801D46"/>
    <w:rsid w:val="00802B28"/>
    <w:rsid w:val="00802D30"/>
    <w:rsid w:val="00803BB2"/>
    <w:rsid w:val="0080445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766"/>
    <w:rsid w:val="00814834"/>
    <w:rsid w:val="00814986"/>
    <w:rsid w:val="008152C9"/>
    <w:rsid w:val="00815410"/>
    <w:rsid w:val="008167D2"/>
    <w:rsid w:val="008167F9"/>
    <w:rsid w:val="008169E8"/>
    <w:rsid w:val="00816A2C"/>
    <w:rsid w:val="00816A67"/>
    <w:rsid w:val="00817528"/>
    <w:rsid w:val="008176BE"/>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247C"/>
    <w:rsid w:val="0083341B"/>
    <w:rsid w:val="0083391B"/>
    <w:rsid w:val="00834639"/>
    <w:rsid w:val="008357E1"/>
    <w:rsid w:val="00835FD5"/>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D43"/>
    <w:rsid w:val="00857F8B"/>
    <w:rsid w:val="0086045B"/>
    <w:rsid w:val="00861728"/>
    <w:rsid w:val="00861BE3"/>
    <w:rsid w:val="00861DD3"/>
    <w:rsid w:val="00862075"/>
    <w:rsid w:val="008632C0"/>
    <w:rsid w:val="00865A8B"/>
    <w:rsid w:val="00865B97"/>
    <w:rsid w:val="0086772C"/>
    <w:rsid w:val="00867C89"/>
    <w:rsid w:val="00870EAF"/>
    <w:rsid w:val="00871CE9"/>
    <w:rsid w:val="00872994"/>
    <w:rsid w:val="00872AB5"/>
    <w:rsid w:val="0087489E"/>
    <w:rsid w:val="00874DFD"/>
    <w:rsid w:val="00875013"/>
    <w:rsid w:val="0087541C"/>
    <w:rsid w:val="008760A4"/>
    <w:rsid w:val="00876B4B"/>
    <w:rsid w:val="00876B68"/>
    <w:rsid w:val="008772BE"/>
    <w:rsid w:val="008775BB"/>
    <w:rsid w:val="00877F67"/>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67F"/>
    <w:rsid w:val="00893800"/>
    <w:rsid w:val="0089466D"/>
    <w:rsid w:val="008951A8"/>
    <w:rsid w:val="00895FAE"/>
    <w:rsid w:val="008968D7"/>
    <w:rsid w:val="00896DB2"/>
    <w:rsid w:val="00896EB8"/>
    <w:rsid w:val="008A0E21"/>
    <w:rsid w:val="008A0EE4"/>
    <w:rsid w:val="008A1EB8"/>
    <w:rsid w:val="008A2168"/>
    <w:rsid w:val="008A2610"/>
    <w:rsid w:val="008A2701"/>
    <w:rsid w:val="008A3139"/>
    <w:rsid w:val="008A4C71"/>
    <w:rsid w:val="008A4C87"/>
    <w:rsid w:val="008A54B9"/>
    <w:rsid w:val="008A70C7"/>
    <w:rsid w:val="008A7D0D"/>
    <w:rsid w:val="008A7E55"/>
    <w:rsid w:val="008B00E3"/>
    <w:rsid w:val="008B01CF"/>
    <w:rsid w:val="008B0929"/>
    <w:rsid w:val="008B0F95"/>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7388"/>
    <w:rsid w:val="008C7629"/>
    <w:rsid w:val="008C7F01"/>
    <w:rsid w:val="008D05D9"/>
    <w:rsid w:val="008D0DFF"/>
    <w:rsid w:val="008D0E03"/>
    <w:rsid w:val="008D207A"/>
    <w:rsid w:val="008D23C6"/>
    <w:rsid w:val="008D2E83"/>
    <w:rsid w:val="008D3567"/>
    <w:rsid w:val="008D3952"/>
    <w:rsid w:val="008D3AAB"/>
    <w:rsid w:val="008D3F73"/>
    <w:rsid w:val="008D59F7"/>
    <w:rsid w:val="008D5A2D"/>
    <w:rsid w:val="008D7109"/>
    <w:rsid w:val="008D7EAB"/>
    <w:rsid w:val="008E0739"/>
    <w:rsid w:val="008E1130"/>
    <w:rsid w:val="008E2080"/>
    <w:rsid w:val="008E25C7"/>
    <w:rsid w:val="008E2C29"/>
    <w:rsid w:val="008E31F2"/>
    <w:rsid w:val="008E3533"/>
    <w:rsid w:val="008E41DB"/>
    <w:rsid w:val="008E44C5"/>
    <w:rsid w:val="008E4B39"/>
    <w:rsid w:val="008E5C4F"/>
    <w:rsid w:val="008E742E"/>
    <w:rsid w:val="008F009E"/>
    <w:rsid w:val="008F05D8"/>
    <w:rsid w:val="008F06EB"/>
    <w:rsid w:val="008F088C"/>
    <w:rsid w:val="008F0C31"/>
    <w:rsid w:val="008F17C8"/>
    <w:rsid w:val="008F1ACD"/>
    <w:rsid w:val="008F2E34"/>
    <w:rsid w:val="008F2E41"/>
    <w:rsid w:val="008F33AA"/>
    <w:rsid w:val="008F38FD"/>
    <w:rsid w:val="008F455D"/>
    <w:rsid w:val="008F4EFB"/>
    <w:rsid w:val="008F532F"/>
    <w:rsid w:val="008F5EA6"/>
    <w:rsid w:val="008F6101"/>
    <w:rsid w:val="008F6897"/>
    <w:rsid w:val="009005EE"/>
    <w:rsid w:val="00900663"/>
    <w:rsid w:val="0090398E"/>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9CA"/>
    <w:rsid w:val="009166F1"/>
    <w:rsid w:val="00917018"/>
    <w:rsid w:val="00917B84"/>
    <w:rsid w:val="009200ED"/>
    <w:rsid w:val="009201E7"/>
    <w:rsid w:val="00920205"/>
    <w:rsid w:val="009212FA"/>
    <w:rsid w:val="0092178A"/>
    <w:rsid w:val="00921A67"/>
    <w:rsid w:val="009224E7"/>
    <w:rsid w:val="0092276F"/>
    <w:rsid w:val="00922DE5"/>
    <w:rsid w:val="00922F1E"/>
    <w:rsid w:val="00923475"/>
    <w:rsid w:val="00923C16"/>
    <w:rsid w:val="00923DB7"/>
    <w:rsid w:val="0092405A"/>
    <w:rsid w:val="0092631C"/>
    <w:rsid w:val="00926EC6"/>
    <w:rsid w:val="0093022F"/>
    <w:rsid w:val="00930579"/>
    <w:rsid w:val="009307BC"/>
    <w:rsid w:val="00930AF8"/>
    <w:rsid w:val="0093144C"/>
    <w:rsid w:val="009314C8"/>
    <w:rsid w:val="0093196F"/>
    <w:rsid w:val="00932F38"/>
    <w:rsid w:val="00933921"/>
    <w:rsid w:val="009339EC"/>
    <w:rsid w:val="009340B4"/>
    <w:rsid w:val="0093435C"/>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1CA"/>
    <w:rsid w:val="00964255"/>
    <w:rsid w:val="00964583"/>
    <w:rsid w:val="00965077"/>
    <w:rsid w:val="009657FE"/>
    <w:rsid w:val="00965DC9"/>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6369"/>
    <w:rsid w:val="0099731F"/>
    <w:rsid w:val="0099797E"/>
    <w:rsid w:val="009A01D8"/>
    <w:rsid w:val="009A0750"/>
    <w:rsid w:val="009A2A54"/>
    <w:rsid w:val="009A3970"/>
    <w:rsid w:val="009A3C45"/>
    <w:rsid w:val="009A4651"/>
    <w:rsid w:val="009A49A2"/>
    <w:rsid w:val="009A4A8D"/>
    <w:rsid w:val="009A4D02"/>
    <w:rsid w:val="009A5AB1"/>
    <w:rsid w:val="009A7566"/>
    <w:rsid w:val="009B0165"/>
    <w:rsid w:val="009B0D2E"/>
    <w:rsid w:val="009B15FC"/>
    <w:rsid w:val="009B17EC"/>
    <w:rsid w:val="009B2851"/>
    <w:rsid w:val="009B2C99"/>
    <w:rsid w:val="009B2DD8"/>
    <w:rsid w:val="009B2F85"/>
    <w:rsid w:val="009B34C6"/>
    <w:rsid w:val="009B45EB"/>
    <w:rsid w:val="009B4B74"/>
    <w:rsid w:val="009B50D6"/>
    <w:rsid w:val="009B55C9"/>
    <w:rsid w:val="009B7262"/>
    <w:rsid w:val="009B73DC"/>
    <w:rsid w:val="009C04FC"/>
    <w:rsid w:val="009C0B50"/>
    <w:rsid w:val="009C22CD"/>
    <w:rsid w:val="009C266C"/>
    <w:rsid w:val="009C2D78"/>
    <w:rsid w:val="009C35FC"/>
    <w:rsid w:val="009C3935"/>
    <w:rsid w:val="009C3AFB"/>
    <w:rsid w:val="009C412C"/>
    <w:rsid w:val="009C438C"/>
    <w:rsid w:val="009C46D2"/>
    <w:rsid w:val="009C4F21"/>
    <w:rsid w:val="009C591E"/>
    <w:rsid w:val="009C5C71"/>
    <w:rsid w:val="009C5DCE"/>
    <w:rsid w:val="009C669D"/>
    <w:rsid w:val="009C67FD"/>
    <w:rsid w:val="009C6DFC"/>
    <w:rsid w:val="009C70E2"/>
    <w:rsid w:val="009C75C0"/>
    <w:rsid w:val="009C760D"/>
    <w:rsid w:val="009C769F"/>
    <w:rsid w:val="009C77B5"/>
    <w:rsid w:val="009C7EFF"/>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369"/>
    <w:rsid w:val="009E083B"/>
    <w:rsid w:val="009E09BD"/>
    <w:rsid w:val="009E192A"/>
    <w:rsid w:val="009E2636"/>
    <w:rsid w:val="009E27F4"/>
    <w:rsid w:val="009E424E"/>
    <w:rsid w:val="009E429A"/>
    <w:rsid w:val="009E42CF"/>
    <w:rsid w:val="009E43A5"/>
    <w:rsid w:val="009E45C4"/>
    <w:rsid w:val="009E48F6"/>
    <w:rsid w:val="009E4947"/>
    <w:rsid w:val="009E4C74"/>
    <w:rsid w:val="009E5283"/>
    <w:rsid w:val="009E5FE9"/>
    <w:rsid w:val="009E6A7D"/>
    <w:rsid w:val="009F1366"/>
    <w:rsid w:val="009F14D6"/>
    <w:rsid w:val="009F1AAB"/>
    <w:rsid w:val="009F1E72"/>
    <w:rsid w:val="009F230A"/>
    <w:rsid w:val="009F29C8"/>
    <w:rsid w:val="009F36F2"/>
    <w:rsid w:val="009F4335"/>
    <w:rsid w:val="009F48F8"/>
    <w:rsid w:val="009F59B4"/>
    <w:rsid w:val="009F603A"/>
    <w:rsid w:val="009F6649"/>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4F4"/>
    <w:rsid w:val="00A36958"/>
    <w:rsid w:val="00A36FC4"/>
    <w:rsid w:val="00A37034"/>
    <w:rsid w:val="00A40A6D"/>
    <w:rsid w:val="00A410FB"/>
    <w:rsid w:val="00A429AA"/>
    <w:rsid w:val="00A43127"/>
    <w:rsid w:val="00A431F8"/>
    <w:rsid w:val="00A43200"/>
    <w:rsid w:val="00A44E9B"/>
    <w:rsid w:val="00A44F91"/>
    <w:rsid w:val="00A45827"/>
    <w:rsid w:val="00A46F83"/>
    <w:rsid w:val="00A4745D"/>
    <w:rsid w:val="00A47D11"/>
    <w:rsid w:val="00A50607"/>
    <w:rsid w:val="00A50610"/>
    <w:rsid w:val="00A50898"/>
    <w:rsid w:val="00A5093A"/>
    <w:rsid w:val="00A51663"/>
    <w:rsid w:val="00A51BFF"/>
    <w:rsid w:val="00A51D95"/>
    <w:rsid w:val="00A520E1"/>
    <w:rsid w:val="00A5226F"/>
    <w:rsid w:val="00A52C37"/>
    <w:rsid w:val="00A52DD9"/>
    <w:rsid w:val="00A53754"/>
    <w:rsid w:val="00A54576"/>
    <w:rsid w:val="00A54DF6"/>
    <w:rsid w:val="00A55123"/>
    <w:rsid w:val="00A55C0E"/>
    <w:rsid w:val="00A55E60"/>
    <w:rsid w:val="00A5606A"/>
    <w:rsid w:val="00A56CC7"/>
    <w:rsid w:val="00A56DCF"/>
    <w:rsid w:val="00A57706"/>
    <w:rsid w:val="00A57C83"/>
    <w:rsid w:val="00A60951"/>
    <w:rsid w:val="00A61BF2"/>
    <w:rsid w:val="00A61E45"/>
    <w:rsid w:val="00A6267D"/>
    <w:rsid w:val="00A62D7B"/>
    <w:rsid w:val="00A632B9"/>
    <w:rsid w:val="00A63319"/>
    <w:rsid w:val="00A6367C"/>
    <w:rsid w:val="00A63EAA"/>
    <w:rsid w:val="00A64224"/>
    <w:rsid w:val="00A65A23"/>
    <w:rsid w:val="00A66AFB"/>
    <w:rsid w:val="00A66C74"/>
    <w:rsid w:val="00A6754A"/>
    <w:rsid w:val="00A67790"/>
    <w:rsid w:val="00A67F8B"/>
    <w:rsid w:val="00A704FC"/>
    <w:rsid w:val="00A70A64"/>
    <w:rsid w:val="00A71E21"/>
    <w:rsid w:val="00A722EA"/>
    <w:rsid w:val="00A728D6"/>
    <w:rsid w:val="00A737B1"/>
    <w:rsid w:val="00A73833"/>
    <w:rsid w:val="00A7399B"/>
    <w:rsid w:val="00A73ADE"/>
    <w:rsid w:val="00A73CC6"/>
    <w:rsid w:val="00A745F2"/>
    <w:rsid w:val="00A7519E"/>
    <w:rsid w:val="00A764F1"/>
    <w:rsid w:val="00A803CF"/>
    <w:rsid w:val="00A804EF"/>
    <w:rsid w:val="00A81161"/>
    <w:rsid w:val="00A811E8"/>
    <w:rsid w:val="00A8176A"/>
    <w:rsid w:val="00A81C4E"/>
    <w:rsid w:val="00A81C69"/>
    <w:rsid w:val="00A81FF7"/>
    <w:rsid w:val="00A828C9"/>
    <w:rsid w:val="00A82CA9"/>
    <w:rsid w:val="00A82F3F"/>
    <w:rsid w:val="00A83401"/>
    <w:rsid w:val="00A834BF"/>
    <w:rsid w:val="00A845BA"/>
    <w:rsid w:val="00A87954"/>
    <w:rsid w:val="00A903C8"/>
    <w:rsid w:val="00A91634"/>
    <w:rsid w:val="00A93EAF"/>
    <w:rsid w:val="00A94611"/>
    <w:rsid w:val="00A94F49"/>
    <w:rsid w:val="00A94FA8"/>
    <w:rsid w:val="00A952EA"/>
    <w:rsid w:val="00A958A5"/>
    <w:rsid w:val="00A95C8D"/>
    <w:rsid w:val="00A95ED3"/>
    <w:rsid w:val="00A96DDD"/>
    <w:rsid w:val="00A971F8"/>
    <w:rsid w:val="00A9739A"/>
    <w:rsid w:val="00A97778"/>
    <w:rsid w:val="00A97A99"/>
    <w:rsid w:val="00A97B21"/>
    <w:rsid w:val="00AA04D8"/>
    <w:rsid w:val="00AA0B85"/>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AC9"/>
    <w:rsid w:val="00AA6FAB"/>
    <w:rsid w:val="00AB0838"/>
    <w:rsid w:val="00AB19DD"/>
    <w:rsid w:val="00AB1AAE"/>
    <w:rsid w:val="00AB1EE5"/>
    <w:rsid w:val="00AB21F9"/>
    <w:rsid w:val="00AB2945"/>
    <w:rsid w:val="00AB363C"/>
    <w:rsid w:val="00AB3909"/>
    <w:rsid w:val="00AB393C"/>
    <w:rsid w:val="00AB4143"/>
    <w:rsid w:val="00AB488E"/>
    <w:rsid w:val="00AB4A58"/>
    <w:rsid w:val="00AB5CA6"/>
    <w:rsid w:val="00AB617A"/>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18BA"/>
    <w:rsid w:val="00AD2C9E"/>
    <w:rsid w:val="00AD2D37"/>
    <w:rsid w:val="00AD2DF4"/>
    <w:rsid w:val="00AD3125"/>
    <w:rsid w:val="00AD3602"/>
    <w:rsid w:val="00AD3BF6"/>
    <w:rsid w:val="00AD43A7"/>
    <w:rsid w:val="00AD46EA"/>
    <w:rsid w:val="00AD4BB3"/>
    <w:rsid w:val="00AD4F75"/>
    <w:rsid w:val="00AD555B"/>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EB8"/>
    <w:rsid w:val="00AF52E7"/>
    <w:rsid w:val="00AF56DB"/>
    <w:rsid w:val="00AF5718"/>
    <w:rsid w:val="00AF5D37"/>
    <w:rsid w:val="00AF5D95"/>
    <w:rsid w:val="00AF6017"/>
    <w:rsid w:val="00AF6339"/>
    <w:rsid w:val="00AF66EB"/>
    <w:rsid w:val="00AF6985"/>
    <w:rsid w:val="00AF6CB1"/>
    <w:rsid w:val="00AF7A7E"/>
    <w:rsid w:val="00B00098"/>
    <w:rsid w:val="00B003AA"/>
    <w:rsid w:val="00B008D5"/>
    <w:rsid w:val="00B01047"/>
    <w:rsid w:val="00B01117"/>
    <w:rsid w:val="00B01816"/>
    <w:rsid w:val="00B01C49"/>
    <w:rsid w:val="00B023E6"/>
    <w:rsid w:val="00B044CF"/>
    <w:rsid w:val="00B048D4"/>
    <w:rsid w:val="00B04EC5"/>
    <w:rsid w:val="00B05290"/>
    <w:rsid w:val="00B05F1C"/>
    <w:rsid w:val="00B0637D"/>
    <w:rsid w:val="00B06B40"/>
    <w:rsid w:val="00B07386"/>
    <w:rsid w:val="00B0757A"/>
    <w:rsid w:val="00B075C2"/>
    <w:rsid w:val="00B07D3B"/>
    <w:rsid w:val="00B10219"/>
    <w:rsid w:val="00B10832"/>
    <w:rsid w:val="00B128D7"/>
    <w:rsid w:val="00B12AE8"/>
    <w:rsid w:val="00B12D6A"/>
    <w:rsid w:val="00B12FF0"/>
    <w:rsid w:val="00B14745"/>
    <w:rsid w:val="00B14828"/>
    <w:rsid w:val="00B14EF7"/>
    <w:rsid w:val="00B165FB"/>
    <w:rsid w:val="00B2023A"/>
    <w:rsid w:val="00B2068B"/>
    <w:rsid w:val="00B20AC8"/>
    <w:rsid w:val="00B20C4A"/>
    <w:rsid w:val="00B2152F"/>
    <w:rsid w:val="00B21ECA"/>
    <w:rsid w:val="00B2257C"/>
    <w:rsid w:val="00B2267D"/>
    <w:rsid w:val="00B22E28"/>
    <w:rsid w:val="00B23059"/>
    <w:rsid w:val="00B23133"/>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136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517E"/>
    <w:rsid w:val="00B45A3A"/>
    <w:rsid w:val="00B46047"/>
    <w:rsid w:val="00B47F98"/>
    <w:rsid w:val="00B509FF"/>
    <w:rsid w:val="00B5194E"/>
    <w:rsid w:val="00B5226E"/>
    <w:rsid w:val="00B5228E"/>
    <w:rsid w:val="00B53267"/>
    <w:rsid w:val="00B53279"/>
    <w:rsid w:val="00B53578"/>
    <w:rsid w:val="00B53DBF"/>
    <w:rsid w:val="00B5471A"/>
    <w:rsid w:val="00B54954"/>
    <w:rsid w:val="00B5503B"/>
    <w:rsid w:val="00B56138"/>
    <w:rsid w:val="00B57C8E"/>
    <w:rsid w:val="00B6022D"/>
    <w:rsid w:val="00B610C7"/>
    <w:rsid w:val="00B61261"/>
    <w:rsid w:val="00B61C7E"/>
    <w:rsid w:val="00B61F6F"/>
    <w:rsid w:val="00B62B5E"/>
    <w:rsid w:val="00B63729"/>
    <w:rsid w:val="00B63934"/>
    <w:rsid w:val="00B6450F"/>
    <w:rsid w:val="00B64F9D"/>
    <w:rsid w:val="00B652D1"/>
    <w:rsid w:val="00B65AC5"/>
    <w:rsid w:val="00B66188"/>
    <w:rsid w:val="00B66766"/>
    <w:rsid w:val="00B66EC0"/>
    <w:rsid w:val="00B678F5"/>
    <w:rsid w:val="00B67FB9"/>
    <w:rsid w:val="00B712A1"/>
    <w:rsid w:val="00B71894"/>
    <w:rsid w:val="00B72124"/>
    <w:rsid w:val="00B72140"/>
    <w:rsid w:val="00B7272A"/>
    <w:rsid w:val="00B72D78"/>
    <w:rsid w:val="00B73E51"/>
    <w:rsid w:val="00B7441F"/>
    <w:rsid w:val="00B745E0"/>
    <w:rsid w:val="00B755FD"/>
    <w:rsid w:val="00B7658D"/>
    <w:rsid w:val="00B76A03"/>
    <w:rsid w:val="00B76F26"/>
    <w:rsid w:val="00B77318"/>
    <w:rsid w:val="00B774BD"/>
    <w:rsid w:val="00B778AA"/>
    <w:rsid w:val="00B806A3"/>
    <w:rsid w:val="00B81794"/>
    <w:rsid w:val="00B81BBE"/>
    <w:rsid w:val="00B82F31"/>
    <w:rsid w:val="00B83E7E"/>
    <w:rsid w:val="00B84464"/>
    <w:rsid w:val="00B84597"/>
    <w:rsid w:val="00B852B5"/>
    <w:rsid w:val="00B86269"/>
    <w:rsid w:val="00B872BE"/>
    <w:rsid w:val="00B87D79"/>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D0A"/>
    <w:rsid w:val="00B94DD0"/>
    <w:rsid w:val="00B950EB"/>
    <w:rsid w:val="00B95415"/>
    <w:rsid w:val="00B9579A"/>
    <w:rsid w:val="00B95CDE"/>
    <w:rsid w:val="00B96992"/>
    <w:rsid w:val="00B979B9"/>
    <w:rsid w:val="00BA0208"/>
    <w:rsid w:val="00BA0372"/>
    <w:rsid w:val="00BA0B91"/>
    <w:rsid w:val="00BA18D2"/>
    <w:rsid w:val="00BA1EE3"/>
    <w:rsid w:val="00BA216E"/>
    <w:rsid w:val="00BA2361"/>
    <w:rsid w:val="00BA2DFD"/>
    <w:rsid w:val="00BA3436"/>
    <w:rsid w:val="00BA34C9"/>
    <w:rsid w:val="00BA3F15"/>
    <w:rsid w:val="00BA5D55"/>
    <w:rsid w:val="00BA614A"/>
    <w:rsid w:val="00BA61D2"/>
    <w:rsid w:val="00BA6295"/>
    <w:rsid w:val="00BA648E"/>
    <w:rsid w:val="00BA687D"/>
    <w:rsid w:val="00BA68AC"/>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E7A"/>
    <w:rsid w:val="00BB7F63"/>
    <w:rsid w:val="00BC098C"/>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C55"/>
    <w:rsid w:val="00BD33E3"/>
    <w:rsid w:val="00BD4727"/>
    <w:rsid w:val="00BD4C36"/>
    <w:rsid w:val="00BD4CE5"/>
    <w:rsid w:val="00BD5377"/>
    <w:rsid w:val="00BD54ED"/>
    <w:rsid w:val="00BD5737"/>
    <w:rsid w:val="00BD5AF5"/>
    <w:rsid w:val="00BD5C2D"/>
    <w:rsid w:val="00BD69E9"/>
    <w:rsid w:val="00BE0739"/>
    <w:rsid w:val="00BE175F"/>
    <w:rsid w:val="00BE2082"/>
    <w:rsid w:val="00BE22CC"/>
    <w:rsid w:val="00BE22E0"/>
    <w:rsid w:val="00BE3383"/>
    <w:rsid w:val="00BE3F08"/>
    <w:rsid w:val="00BE4897"/>
    <w:rsid w:val="00BE4B1B"/>
    <w:rsid w:val="00BE4DB0"/>
    <w:rsid w:val="00BE5401"/>
    <w:rsid w:val="00BE63BD"/>
    <w:rsid w:val="00BF0A47"/>
    <w:rsid w:val="00BF0C8F"/>
    <w:rsid w:val="00BF117A"/>
    <w:rsid w:val="00BF26DE"/>
    <w:rsid w:val="00BF2D7F"/>
    <w:rsid w:val="00BF3A02"/>
    <w:rsid w:val="00BF40A8"/>
    <w:rsid w:val="00BF49E1"/>
    <w:rsid w:val="00BF5103"/>
    <w:rsid w:val="00BF520C"/>
    <w:rsid w:val="00BF69EA"/>
    <w:rsid w:val="00BF6D33"/>
    <w:rsid w:val="00C00E40"/>
    <w:rsid w:val="00C00F79"/>
    <w:rsid w:val="00C01478"/>
    <w:rsid w:val="00C01B14"/>
    <w:rsid w:val="00C021AE"/>
    <w:rsid w:val="00C02C0A"/>
    <w:rsid w:val="00C03584"/>
    <w:rsid w:val="00C036B6"/>
    <w:rsid w:val="00C04709"/>
    <w:rsid w:val="00C04A67"/>
    <w:rsid w:val="00C0508A"/>
    <w:rsid w:val="00C067B5"/>
    <w:rsid w:val="00C07CDD"/>
    <w:rsid w:val="00C07F60"/>
    <w:rsid w:val="00C07FC4"/>
    <w:rsid w:val="00C10BE1"/>
    <w:rsid w:val="00C11D7B"/>
    <w:rsid w:val="00C125F4"/>
    <w:rsid w:val="00C12625"/>
    <w:rsid w:val="00C12C8C"/>
    <w:rsid w:val="00C12EB8"/>
    <w:rsid w:val="00C134CF"/>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E40"/>
    <w:rsid w:val="00C24DDB"/>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5401"/>
    <w:rsid w:val="00C35E39"/>
    <w:rsid w:val="00C36544"/>
    <w:rsid w:val="00C3711D"/>
    <w:rsid w:val="00C37693"/>
    <w:rsid w:val="00C3796D"/>
    <w:rsid w:val="00C40B8A"/>
    <w:rsid w:val="00C41041"/>
    <w:rsid w:val="00C42075"/>
    <w:rsid w:val="00C42FFC"/>
    <w:rsid w:val="00C4302C"/>
    <w:rsid w:val="00C431E3"/>
    <w:rsid w:val="00C432F5"/>
    <w:rsid w:val="00C43598"/>
    <w:rsid w:val="00C47419"/>
    <w:rsid w:val="00C47D36"/>
    <w:rsid w:val="00C509DB"/>
    <w:rsid w:val="00C517EC"/>
    <w:rsid w:val="00C51897"/>
    <w:rsid w:val="00C52110"/>
    <w:rsid w:val="00C52CCA"/>
    <w:rsid w:val="00C52D08"/>
    <w:rsid w:val="00C53D11"/>
    <w:rsid w:val="00C541D2"/>
    <w:rsid w:val="00C549FE"/>
    <w:rsid w:val="00C56370"/>
    <w:rsid w:val="00C571F6"/>
    <w:rsid w:val="00C5751B"/>
    <w:rsid w:val="00C615C8"/>
    <w:rsid w:val="00C62218"/>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81037"/>
    <w:rsid w:val="00C8240C"/>
    <w:rsid w:val="00C82D0D"/>
    <w:rsid w:val="00C83527"/>
    <w:rsid w:val="00C843D8"/>
    <w:rsid w:val="00C84CF7"/>
    <w:rsid w:val="00C85ED1"/>
    <w:rsid w:val="00C86592"/>
    <w:rsid w:val="00C8679C"/>
    <w:rsid w:val="00C86F09"/>
    <w:rsid w:val="00C87527"/>
    <w:rsid w:val="00C8782D"/>
    <w:rsid w:val="00C90460"/>
    <w:rsid w:val="00C90800"/>
    <w:rsid w:val="00C908F3"/>
    <w:rsid w:val="00C90A9A"/>
    <w:rsid w:val="00C90BBD"/>
    <w:rsid w:val="00C90F7E"/>
    <w:rsid w:val="00C917DF"/>
    <w:rsid w:val="00C91DE7"/>
    <w:rsid w:val="00C925D1"/>
    <w:rsid w:val="00C92743"/>
    <w:rsid w:val="00C9278A"/>
    <w:rsid w:val="00C92DBC"/>
    <w:rsid w:val="00C93E4C"/>
    <w:rsid w:val="00C9431E"/>
    <w:rsid w:val="00C94E77"/>
    <w:rsid w:val="00C95B50"/>
    <w:rsid w:val="00C96481"/>
    <w:rsid w:val="00CA08E0"/>
    <w:rsid w:val="00CA09C2"/>
    <w:rsid w:val="00CA0C2C"/>
    <w:rsid w:val="00CA1203"/>
    <w:rsid w:val="00CA1328"/>
    <w:rsid w:val="00CA259B"/>
    <w:rsid w:val="00CA3029"/>
    <w:rsid w:val="00CA3369"/>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E40"/>
    <w:rsid w:val="00CB1F81"/>
    <w:rsid w:val="00CB23A9"/>
    <w:rsid w:val="00CB2AC8"/>
    <w:rsid w:val="00CB32F7"/>
    <w:rsid w:val="00CB3579"/>
    <w:rsid w:val="00CB3A47"/>
    <w:rsid w:val="00CB44D3"/>
    <w:rsid w:val="00CB48AD"/>
    <w:rsid w:val="00CB5AE5"/>
    <w:rsid w:val="00CB5EFC"/>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1DA6"/>
    <w:rsid w:val="00CD2AA0"/>
    <w:rsid w:val="00CD2AF4"/>
    <w:rsid w:val="00CD3343"/>
    <w:rsid w:val="00CD353F"/>
    <w:rsid w:val="00CD363E"/>
    <w:rsid w:val="00CD3742"/>
    <w:rsid w:val="00CD3907"/>
    <w:rsid w:val="00CD3D03"/>
    <w:rsid w:val="00CD4169"/>
    <w:rsid w:val="00CD41D2"/>
    <w:rsid w:val="00CD4D4E"/>
    <w:rsid w:val="00CD5113"/>
    <w:rsid w:val="00CD5BE1"/>
    <w:rsid w:val="00CD6617"/>
    <w:rsid w:val="00CD6660"/>
    <w:rsid w:val="00CD67F1"/>
    <w:rsid w:val="00CD7394"/>
    <w:rsid w:val="00CD7879"/>
    <w:rsid w:val="00CD7994"/>
    <w:rsid w:val="00CD7C11"/>
    <w:rsid w:val="00CD7E61"/>
    <w:rsid w:val="00CE092B"/>
    <w:rsid w:val="00CE13AF"/>
    <w:rsid w:val="00CE187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15D4"/>
    <w:rsid w:val="00D03248"/>
    <w:rsid w:val="00D03913"/>
    <w:rsid w:val="00D03A75"/>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322B"/>
    <w:rsid w:val="00D132B1"/>
    <w:rsid w:val="00D134F6"/>
    <w:rsid w:val="00D13FC2"/>
    <w:rsid w:val="00D1499B"/>
    <w:rsid w:val="00D14C4B"/>
    <w:rsid w:val="00D16526"/>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548"/>
    <w:rsid w:val="00D30C15"/>
    <w:rsid w:val="00D31226"/>
    <w:rsid w:val="00D31FEA"/>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71B"/>
    <w:rsid w:val="00D5324B"/>
    <w:rsid w:val="00D53EDB"/>
    <w:rsid w:val="00D5501D"/>
    <w:rsid w:val="00D550E6"/>
    <w:rsid w:val="00D5648A"/>
    <w:rsid w:val="00D56562"/>
    <w:rsid w:val="00D56625"/>
    <w:rsid w:val="00D5689B"/>
    <w:rsid w:val="00D56AC6"/>
    <w:rsid w:val="00D56B2D"/>
    <w:rsid w:val="00D56B30"/>
    <w:rsid w:val="00D57B09"/>
    <w:rsid w:val="00D60342"/>
    <w:rsid w:val="00D60486"/>
    <w:rsid w:val="00D6105F"/>
    <w:rsid w:val="00D6117B"/>
    <w:rsid w:val="00D63479"/>
    <w:rsid w:val="00D65150"/>
    <w:rsid w:val="00D6534E"/>
    <w:rsid w:val="00D65603"/>
    <w:rsid w:val="00D658AE"/>
    <w:rsid w:val="00D658D6"/>
    <w:rsid w:val="00D66558"/>
    <w:rsid w:val="00D6664A"/>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AE3"/>
    <w:rsid w:val="00D83FDD"/>
    <w:rsid w:val="00D84977"/>
    <w:rsid w:val="00D85023"/>
    <w:rsid w:val="00D8584A"/>
    <w:rsid w:val="00D85CD8"/>
    <w:rsid w:val="00D85EE2"/>
    <w:rsid w:val="00D8662D"/>
    <w:rsid w:val="00D8720A"/>
    <w:rsid w:val="00D873C3"/>
    <w:rsid w:val="00D9060A"/>
    <w:rsid w:val="00D90931"/>
    <w:rsid w:val="00D90E4E"/>
    <w:rsid w:val="00D91130"/>
    <w:rsid w:val="00D9152D"/>
    <w:rsid w:val="00D9169D"/>
    <w:rsid w:val="00D91DB5"/>
    <w:rsid w:val="00D93592"/>
    <w:rsid w:val="00D937EB"/>
    <w:rsid w:val="00D93A6E"/>
    <w:rsid w:val="00D9422C"/>
    <w:rsid w:val="00D9453F"/>
    <w:rsid w:val="00D9497B"/>
    <w:rsid w:val="00D95116"/>
    <w:rsid w:val="00D968A2"/>
    <w:rsid w:val="00D969F9"/>
    <w:rsid w:val="00DA0EA4"/>
    <w:rsid w:val="00DA0EF4"/>
    <w:rsid w:val="00DA15A4"/>
    <w:rsid w:val="00DA193B"/>
    <w:rsid w:val="00DA23B5"/>
    <w:rsid w:val="00DA3137"/>
    <w:rsid w:val="00DA3629"/>
    <w:rsid w:val="00DA37BB"/>
    <w:rsid w:val="00DA3C5D"/>
    <w:rsid w:val="00DA3DE5"/>
    <w:rsid w:val="00DA3E45"/>
    <w:rsid w:val="00DA4309"/>
    <w:rsid w:val="00DA4A98"/>
    <w:rsid w:val="00DA532E"/>
    <w:rsid w:val="00DA565E"/>
    <w:rsid w:val="00DA5E7E"/>
    <w:rsid w:val="00DA779D"/>
    <w:rsid w:val="00DA7834"/>
    <w:rsid w:val="00DB19E8"/>
    <w:rsid w:val="00DB2462"/>
    <w:rsid w:val="00DB2FC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30DD"/>
    <w:rsid w:val="00DC346E"/>
    <w:rsid w:val="00DC4B22"/>
    <w:rsid w:val="00DC4D9D"/>
    <w:rsid w:val="00DC5754"/>
    <w:rsid w:val="00DC5C22"/>
    <w:rsid w:val="00DC6670"/>
    <w:rsid w:val="00DC6AC1"/>
    <w:rsid w:val="00DC743A"/>
    <w:rsid w:val="00DC7A31"/>
    <w:rsid w:val="00DD0195"/>
    <w:rsid w:val="00DD0B6A"/>
    <w:rsid w:val="00DD118A"/>
    <w:rsid w:val="00DD17BD"/>
    <w:rsid w:val="00DD17D3"/>
    <w:rsid w:val="00DD3096"/>
    <w:rsid w:val="00DD335A"/>
    <w:rsid w:val="00DD48D9"/>
    <w:rsid w:val="00DD68D5"/>
    <w:rsid w:val="00DD779D"/>
    <w:rsid w:val="00DD7F58"/>
    <w:rsid w:val="00DE06AD"/>
    <w:rsid w:val="00DE0857"/>
    <w:rsid w:val="00DE13D5"/>
    <w:rsid w:val="00DE1903"/>
    <w:rsid w:val="00DE25C9"/>
    <w:rsid w:val="00DE2A5B"/>
    <w:rsid w:val="00DE3006"/>
    <w:rsid w:val="00DE3A03"/>
    <w:rsid w:val="00DE4352"/>
    <w:rsid w:val="00DE4CEC"/>
    <w:rsid w:val="00DE5412"/>
    <w:rsid w:val="00DE593B"/>
    <w:rsid w:val="00DE5A83"/>
    <w:rsid w:val="00DE699A"/>
    <w:rsid w:val="00DE6D06"/>
    <w:rsid w:val="00DE71DC"/>
    <w:rsid w:val="00DE7D7E"/>
    <w:rsid w:val="00DF0007"/>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F99"/>
    <w:rsid w:val="00E02049"/>
    <w:rsid w:val="00E028DE"/>
    <w:rsid w:val="00E02DFC"/>
    <w:rsid w:val="00E02ED6"/>
    <w:rsid w:val="00E035A8"/>
    <w:rsid w:val="00E03865"/>
    <w:rsid w:val="00E03CCB"/>
    <w:rsid w:val="00E03E6C"/>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9EA"/>
    <w:rsid w:val="00E25241"/>
    <w:rsid w:val="00E255A5"/>
    <w:rsid w:val="00E26164"/>
    <w:rsid w:val="00E26676"/>
    <w:rsid w:val="00E2797A"/>
    <w:rsid w:val="00E30460"/>
    <w:rsid w:val="00E30AC3"/>
    <w:rsid w:val="00E31E1A"/>
    <w:rsid w:val="00E31E70"/>
    <w:rsid w:val="00E31F40"/>
    <w:rsid w:val="00E32F11"/>
    <w:rsid w:val="00E33916"/>
    <w:rsid w:val="00E33CB9"/>
    <w:rsid w:val="00E343BD"/>
    <w:rsid w:val="00E35A26"/>
    <w:rsid w:val="00E36B2F"/>
    <w:rsid w:val="00E37192"/>
    <w:rsid w:val="00E37527"/>
    <w:rsid w:val="00E377D8"/>
    <w:rsid w:val="00E408DB"/>
    <w:rsid w:val="00E40900"/>
    <w:rsid w:val="00E42218"/>
    <w:rsid w:val="00E423DD"/>
    <w:rsid w:val="00E4357B"/>
    <w:rsid w:val="00E43707"/>
    <w:rsid w:val="00E44342"/>
    <w:rsid w:val="00E4441F"/>
    <w:rsid w:val="00E44674"/>
    <w:rsid w:val="00E44EE4"/>
    <w:rsid w:val="00E4542B"/>
    <w:rsid w:val="00E4694B"/>
    <w:rsid w:val="00E50C8F"/>
    <w:rsid w:val="00E50CF3"/>
    <w:rsid w:val="00E514E6"/>
    <w:rsid w:val="00E517C8"/>
    <w:rsid w:val="00E51893"/>
    <w:rsid w:val="00E53C5E"/>
    <w:rsid w:val="00E54031"/>
    <w:rsid w:val="00E5448C"/>
    <w:rsid w:val="00E5470D"/>
    <w:rsid w:val="00E556AF"/>
    <w:rsid w:val="00E55E0C"/>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C3C"/>
    <w:rsid w:val="00E732ED"/>
    <w:rsid w:val="00E742B9"/>
    <w:rsid w:val="00E74A7C"/>
    <w:rsid w:val="00E7535E"/>
    <w:rsid w:val="00E75EBB"/>
    <w:rsid w:val="00E7685E"/>
    <w:rsid w:val="00E77957"/>
    <w:rsid w:val="00E80049"/>
    <w:rsid w:val="00E8023E"/>
    <w:rsid w:val="00E80295"/>
    <w:rsid w:val="00E809C5"/>
    <w:rsid w:val="00E81602"/>
    <w:rsid w:val="00E81CCA"/>
    <w:rsid w:val="00E82948"/>
    <w:rsid w:val="00E82FA1"/>
    <w:rsid w:val="00E83311"/>
    <w:rsid w:val="00E8344A"/>
    <w:rsid w:val="00E8364B"/>
    <w:rsid w:val="00E83905"/>
    <w:rsid w:val="00E83C5F"/>
    <w:rsid w:val="00E848F3"/>
    <w:rsid w:val="00E84BF5"/>
    <w:rsid w:val="00E851AB"/>
    <w:rsid w:val="00E854FB"/>
    <w:rsid w:val="00E85D98"/>
    <w:rsid w:val="00E866EA"/>
    <w:rsid w:val="00E86AB0"/>
    <w:rsid w:val="00E86AE1"/>
    <w:rsid w:val="00E909C5"/>
    <w:rsid w:val="00E90A7C"/>
    <w:rsid w:val="00E90CBC"/>
    <w:rsid w:val="00E912E6"/>
    <w:rsid w:val="00E916B8"/>
    <w:rsid w:val="00E92AD0"/>
    <w:rsid w:val="00E92FE3"/>
    <w:rsid w:val="00E939DB"/>
    <w:rsid w:val="00E93CBA"/>
    <w:rsid w:val="00E9455A"/>
    <w:rsid w:val="00E946E8"/>
    <w:rsid w:val="00E94E5C"/>
    <w:rsid w:val="00E95093"/>
    <w:rsid w:val="00E95174"/>
    <w:rsid w:val="00E96499"/>
    <w:rsid w:val="00E96A09"/>
    <w:rsid w:val="00E974EB"/>
    <w:rsid w:val="00E978BC"/>
    <w:rsid w:val="00EA06F1"/>
    <w:rsid w:val="00EA1781"/>
    <w:rsid w:val="00EA1DE9"/>
    <w:rsid w:val="00EA22B3"/>
    <w:rsid w:val="00EA33DB"/>
    <w:rsid w:val="00EA4A7A"/>
    <w:rsid w:val="00EA544B"/>
    <w:rsid w:val="00EA6358"/>
    <w:rsid w:val="00EA6788"/>
    <w:rsid w:val="00EA6E0A"/>
    <w:rsid w:val="00EA6E0C"/>
    <w:rsid w:val="00EA769D"/>
    <w:rsid w:val="00EB0019"/>
    <w:rsid w:val="00EB0083"/>
    <w:rsid w:val="00EB019E"/>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6D47"/>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BE3"/>
    <w:rsid w:val="00F12E37"/>
    <w:rsid w:val="00F12FCC"/>
    <w:rsid w:val="00F12FFD"/>
    <w:rsid w:val="00F1313D"/>
    <w:rsid w:val="00F1355C"/>
    <w:rsid w:val="00F138D8"/>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302B9"/>
    <w:rsid w:val="00F30B07"/>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C0"/>
    <w:rsid w:val="00F47714"/>
    <w:rsid w:val="00F4781F"/>
    <w:rsid w:val="00F47E15"/>
    <w:rsid w:val="00F5039A"/>
    <w:rsid w:val="00F5097D"/>
    <w:rsid w:val="00F50A34"/>
    <w:rsid w:val="00F50F32"/>
    <w:rsid w:val="00F5110D"/>
    <w:rsid w:val="00F51233"/>
    <w:rsid w:val="00F5187D"/>
    <w:rsid w:val="00F51D8F"/>
    <w:rsid w:val="00F51F76"/>
    <w:rsid w:val="00F52D42"/>
    <w:rsid w:val="00F5322C"/>
    <w:rsid w:val="00F53A5A"/>
    <w:rsid w:val="00F550AE"/>
    <w:rsid w:val="00F553CD"/>
    <w:rsid w:val="00F55F6C"/>
    <w:rsid w:val="00F56228"/>
    <w:rsid w:val="00F56B21"/>
    <w:rsid w:val="00F577C7"/>
    <w:rsid w:val="00F57822"/>
    <w:rsid w:val="00F60331"/>
    <w:rsid w:val="00F608BC"/>
    <w:rsid w:val="00F609D9"/>
    <w:rsid w:val="00F609DC"/>
    <w:rsid w:val="00F615A7"/>
    <w:rsid w:val="00F61E68"/>
    <w:rsid w:val="00F626E3"/>
    <w:rsid w:val="00F6273F"/>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F9A"/>
    <w:rsid w:val="00F7212C"/>
    <w:rsid w:val="00F73050"/>
    <w:rsid w:val="00F734A5"/>
    <w:rsid w:val="00F73948"/>
    <w:rsid w:val="00F739C8"/>
    <w:rsid w:val="00F74642"/>
    <w:rsid w:val="00F74EB1"/>
    <w:rsid w:val="00F75FF6"/>
    <w:rsid w:val="00F76803"/>
    <w:rsid w:val="00F7689F"/>
    <w:rsid w:val="00F7697F"/>
    <w:rsid w:val="00F76ED0"/>
    <w:rsid w:val="00F810F9"/>
    <w:rsid w:val="00F82760"/>
    <w:rsid w:val="00F8358B"/>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8DB"/>
    <w:rsid w:val="00F92EB9"/>
    <w:rsid w:val="00F9317C"/>
    <w:rsid w:val="00F937D3"/>
    <w:rsid w:val="00F94113"/>
    <w:rsid w:val="00F9451B"/>
    <w:rsid w:val="00F95391"/>
    <w:rsid w:val="00F9714B"/>
    <w:rsid w:val="00F979B7"/>
    <w:rsid w:val="00F97E39"/>
    <w:rsid w:val="00FA07B0"/>
    <w:rsid w:val="00FA0AAE"/>
    <w:rsid w:val="00FA11F7"/>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1ABD"/>
    <w:rsid w:val="00FB241F"/>
    <w:rsid w:val="00FB2A4D"/>
    <w:rsid w:val="00FB3A04"/>
    <w:rsid w:val="00FB3A69"/>
    <w:rsid w:val="00FB4096"/>
    <w:rsid w:val="00FB6560"/>
    <w:rsid w:val="00FB6682"/>
    <w:rsid w:val="00FB6CE4"/>
    <w:rsid w:val="00FB6E1F"/>
    <w:rsid w:val="00FB7248"/>
    <w:rsid w:val="00FB75B5"/>
    <w:rsid w:val="00FB7ABD"/>
    <w:rsid w:val="00FB7E90"/>
    <w:rsid w:val="00FC069F"/>
    <w:rsid w:val="00FC0CE3"/>
    <w:rsid w:val="00FC13BC"/>
    <w:rsid w:val="00FC1614"/>
    <w:rsid w:val="00FC1696"/>
    <w:rsid w:val="00FC2016"/>
    <w:rsid w:val="00FC3275"/>
    <w:rsid w:val="00FC3A96"/>
    <w:rsid w:val="00FC43D4"/>
    <w:rsid w:val="00FC46F8"/>
    <w:rsid w:val="00FC4C8C"/>
    <w:rsid w:val="00FC502D"/>
    <w:rsid w:val="00FC5AA5"/>
    <w:rsid w:val="00FC6354"/>
    <w:rsid w:val="00FC6995"/>
    <w:rsid w:val="00FC6E42"/>
    <w:rsid w:val="00FC7F43"/>
    <w:rsid w:val="00FD0282"/>
    <w:rsid w:val="00FD069B"/>
    <w:rsid w:val="00FD09D0"/>
    <w:rsid w:val="00FD0AAD"/>
    <w:rsid w:val="00FD33DB"/>
    <w:rsid w:val="00FD5200"/>
    <w:rsid w:val="00FD52B3"/>
    <w:rsid w:val="00FD5730"/>
    <w:rsid w:val="00FD59E5"/>
    <w:rsid w:val="00FD5C90"/>
    <w:rsid w:val="00FD5E0D"/>
    <w:rsid w:val="00FD6310"/>
    <w:rsid w:val="00FD6525"/>
    <w:rsid w:val="00FD707B"/>
    <w:rsid w:val="00FD77B8"/>
    <w:rsid w:val="00FD7820"/>
    <w:rsid w:val="00FE07BE"/>
    <w:rsid w:val="00FE1048"/>
    <w:rsid w:val="00FE130E"/>
    <w:rsid w:val="00FE177F"/>
    <w:rsid w:val="00FE1B2A"/>
    <w:rsid w:val="00FE2DB8"/>
    <w:rsid w:val="00FE2E74"/>
    <w:rsid w:val="00FE2E7B"/>
    <w:rsid w:val="00FE2FB8"/>
    <w:rsid w:val="00FE31F5"/>
    <w:rsid w:val="00FE32B8"/>
    <w:rsid w:val="00FE40E7"/>
    <w:rsid w:val="00FE4E88"/>
    <w:rsid w:val="00FE510C"/>
    <w:rsid w:val="00FE5AE8"/>
    <w:rsid w:val="00FE5D31"/>
    <w:rsid w:val="00FE69C5"/>
    <w:rsid w:val="00FE6C1A"/>
    <w:rsid w:val="00FE79E2"/>
    <w:rsid w:val="00FF00DC"/>
    <w:rsid w:val="00FF0DAF"/>
    <w:rsid w:val="00FF0DE5"/>
    <w:rsid w:val="00FF1B1F"/>
    <w:rsid w:val="00FF25F5"/>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blue"/>
    </o:shapedefaults>
    <o:shapelayout v:ext="edit">
      <o:idmap v:ext="edit" data="1"/>
    </o:shapelayout>
  </w:shapeDefaults>
  <w:decimalSymbol w:val="."/>
  <w:listSeparator w:val=","/>
  <w14:docId w14:val="4E185B90"/>
  <w15:chartTrackingRefBased/>
  <w15:docId w15:val="{9EF01F05-4540-4689-AEF7-470C93022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chart" Target="charts/chart2.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epot\qct-rfsystems\usr\doyokim\Standard\ULMiMO\DATA\APT\Test_Definition_QPA5581_ULMIMO_v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epot\qct-rfsystems\usr\doyokim\Standard\ULMiMO\DATA\APT\Test_Definition_QPA5581_ULMIMO_v2.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Pout &amp; ACLR vs PA back-off</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v>Pout_1TX</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Sheet2!$O$1:$O$11</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xVal>
          <c:yVal>
            <c:numRef>
              <c:f>Sheet2!$P$1:$P$11</c:f>
              <c:numCache>
                <c:formatCode>General</c:formatCode>
                <c:ptCount val="11"/>
                <c:pt idx="0">
                  <c:v>13.840999999999999</c:v>
                </c:pt>
                <c:pt idx="1">
                  <c:v>14.840999999999999</c:v>
                </c:pt>
                <c:pt idx="2">
                  <c:v>15.85</c:v>
                </c:pt>
                <c:pt idx="3">
                  <c:v>16.885000000000002</c:v>
                </c:pt>
                <c:pt idx="4">
                  <c:v>17.811</c:v>
                </c:pt>
                <c:pt idx="5">
                  <c:v>18.798999999999999</c:v>
                </c:pt>
                <c:pt idx="6">
                  <c:v>19.837</c:v>
                </c:pt>
                <c:pt idx="7">
                  <c:v>20.771000000000001</c:v>
                </c:pt>
                <c:pt idx="8">
                  <c:v>21.738</c:v>
                </c:pt>
                <c:pt idx="9">
                  <c:v>22.683</c:v>
                </c:pt>
                <c:pt idx="10">
                  <c:v>23.693999999999999</c:v>
                </c:pt>
              </c:numCache>
            </c:numRef>
          </c:yVal>
          <c:smooth val="1"/>
          <c:extLst>
            <c:ext xmlns:c16="http://schemas.microsoft.com/office/drawing/2014/chart" uri="{C3380CC4-5D6E-409C-BE32-E72D297353CC}">
              <c16:uniqueId val="{00000000-23B8-471D-ADF5-46232D84B335}"/>
            </c:ext>
          </c:extLst>
        </c:ser>
        <c:ser>
          <c:idx val="1"/>
          <c:order val="1"/>
          <c:tx>
            <c:v>Pout_2TX</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Sheet2!$O$13:$O$23</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xVal>
          <c:yVal>
            <c:numRef>
              <c:f>Sheet2!$P$13:$P$23</c:f>
              <c:numCache>
                <c:formatCode>General</c:formatCode>
                <c:ptCount val="11"/>
                <c:pt idx="0">
                  <c:v>15.691000000000001</c:v>
                </c:pt>
                <c:pt idx="1">
                  <c:v>16.646999999999998</c:v>
                </c:pt>
                <c:pt idx="2">
                  <c:v>17.669</c:v>
                </c:pt>
                <c:pt idx="3">
                  <c:v>18.689</c:v>
                </c:pt>
                <c:pt idx="4">
                  <c:v>19.687000000000001</c:v>
                </c:pt>
                <c:pt idx="5">
                  <c:v>20.641999999999999</c:v>
                </c:pt>
                <c:pt idx="6">
                  <c:v>21.734000000000002</c:v>
                </c:pt>
                <c:pt idx="7">
                  <c:v>22.655999999999999</c:v>
                </c:pt>
                <c:pt idx="8">
                  <c:v>23.643999999999998</c:v>
                </c:pt>
                <c:pt idx="9">
                  <c:v>24.593</c:v>
                </c:pt>
                <c:pt idx="10">
                  <c:v>25.666</c:v>
                </c:pt>
              </c:numCache>
            </c:numRef>
          </c:yVal>
          <c:smooth val="1"/>
          <c:extLst>
            <c:ext xmlns:c16="http://schemas.microsoft.com/office/drawing/2014/chart" uri="{C3380CC4-5D6E-409C-BE32-E72D297353CC}">
              <c16:uniqueId val="{00000001-23B8-471D-ADF5-46232D84B335}"/>
            </c:ext>
          </c:extLst>
        </c:ser>
        <c:dLbls>
          <c:showLegendKey val="0"/>
          <c:showVal val="0"/>
          <c:showCatName val="0"/>
          <c:showSerName val="0"/>
          <c:showPercent val="0"/>
          <c:showBubbleSize val="0"/>
        </c:dLbls>
        <c:axId val="2100365856"/>
        <c:axId val="2100368808"/>
      </c:scatterChart>
      <c:scatterChart>
        <c:scatterStyle val="smoothMarker"/>
        <c:varyColors val="0"/>
        <c:ser>
          <c:idx val="2"/>
          <c:order val="2"/>
          <c:tx>
            <c:v>ACLR_L_1TX</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Sheet2!$O$1:$O$11</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xVal>
          <c:yVal>
            <c:numRef>
              <c:f>Sheet2!$Q$1:$Q$11</c:f>
              <c:numCache>
                <c:formatCode>General</c:formatCode>
                <c:ptCount val="11"/>
                <c:pt idx="0">
                  <c:v>-30.873999999999999</c:v>
                </c:pt>
                <c:pt idx="1">
                  <c:v>-29.053000000000001</c:v>
                </c:pt>
                <c:pt idx="2">
                  <c:v>-32.795000000000002</c:v>
                </c:pt>
                <c:pt idx="3">
                  <c:v>-35.24</c:v>
                </c:pt>
                <c:pt idx="4">
                  <c:v>-36.856999999999999</c:v>
                </c:pt>
                <c:pt idx="5">
                  <c:v>-37.326999999999998</c:v>
                </c:pt>
                <c:pt idx="6">
                  <c:v>-37.363999999999997</c:v>
                </c:pt>
                <c:pt idx="7">
                  <c:v>-36.942999999999998</c:v>
                </c:pt>
                <c:pt idx="8">
                  <c:v>-36.07</c:v>
                </c:pt>
                <c:pt idx="9">
                  <c:v>-34.581000000000003</c:v>
                </c:pt>
                <c:pt idx="10">
                  <c:v>-32.554000000000002</c:v>
                </c:pt>
              </c:numCache>
            </c:numRef>
          </c:yVal>
          <c:smooth val="1"/>
          <c:extLst>
            <c:ext xmlns:c16="http://schemas.microsoft.com/office/drawing/2014/chart" uri="{C3380CC4-5D6E-409C-BE32-E72D297353CC}">
              <c16:uniqueId val="{00000002-23B8-471D-ADF5-46232D84B335}"/>
            </c:ext>
          </c:extLst>
        </c:ser>
        <c:ser>
          <c:idx val="3"/>
          <c:order val="3"/>
          <c:tx>
            <c:v>ACLR_H_2TX</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Sheet2!$O$13:$O$23</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xVal>
          <c:yVal>
            <c:numRef>
              <c:f>Sheet2!$Q$13:$Q$23</c:f>
              <c:numCache>
                <c:formatCode>General</c:formatCode>
                <c:ptCount val="11"/>
                <c:pt idx="0">
                  <c:v>-31.17</c:v>
                </c:pt>
                <c:pt idx="1">
                  <c:v>-29.495999999999999</c:v>
                </c:pt>
                <c:pt idx="2">
                  <c:v>-32.869</c:v>
                </c:pt>
                <c:pt idx="3">
                  <c:v>-34.94</c:v>
                </c:pt>
                <c:pt idx="4">
                  <c:v>-36.517000000000003</c:v>
                </c:pt>
                <c:pt idx="5">
                  <c:v>-37.094000000000001</c:v>
                </c:pt>
                <c:pt idx="6">
                  <c:v>-37.421999999999997</c:v>
                </c:pt>
                <c:pt idx="7">
                  <c:v>-37.040999999999997</c:v>
                </c:pt>
                <c:pt idx="8">
                  <c:v>-36.281999999999996</c:v>
                </c:pt>
                <c:pt idx="9">
                  <c:v>-34.847999999999999</c:v>
                </c:pt>
                <c:pt idx="10">
                  <c:v>-32.883000000000003</c:v>
                </c:pt>
              </c:numCache>
            </c:numRef>
          </c:yVal>
          <c:smooth val="1"/>
          <c:extLst>
            <c:ext xmlns:c16="http://schemas.microsoft.com/office/drawing/2014/chart" uri="{C3380CC4-5D6E-409C-BE32-E72D297353CC}">
              <c16:uniqueId val="{00000003-23B8-471D-ADF5-46232D84B335}"/>
            </c:ext>
          </c:extLst>
        </c:ser>
        <c:ser>
          <c:idx val="4"/>
          <c:order val="4"/>
          <c:tx>
            <c:v>ACLR_H_1TX</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Sheet2!$O$1:$O$11</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xVal>
          <c:yVal>
            <c:numRef>
              <c:f>Sheet2!$T$1:$T$11</c:f>
              <c:numCache>
                <c:formatCode>General</c:formatCode>
                <c:ptCount val="11"/>
                <c:pt idx="0">
                  <c:v>-30.824999999999999</c:v>
                </c:pt>
                <c:pt idx="1">
                  <c:v>-29.158999999999999</c:v>
                </c:pt>
                <c:pt idx="2">
                  <c:v>-33.085000000000001</c:v>
                </c:pt>
                <c:pt idx="3">
                  <c:v>-35.795000000000002</c:v>
                </c:pt>
                <c:pt idx="4">
                  <c:v>-37.786000000000001</c:v>
                </c:pt>
                <c:pt idx="5">
                  <c:v>-38.747</c:v>
                </c:pt>
                <c:pt idx="6">
                  <c:v>-39.206000000000003</c:v>
                </c:pt>
                <c:pt idx="7">
                  <c:v>-39.037999999999997</c:v>
                </c:pt>
                <c:pt idx="8">
                  <c:v>-38.335999999999999</c:v>
                </c:pt>
                <c:pt idx="9">
                  <c:v>-36.923999999999999</c:v>
                </c:pt>
                <c:pt idx="10">
                  <c:v>-34.811999999999998</c:v>
                </c:pt>
              </c:numCache>
            </c:numRef>
          </c:yVal>
          <c:smooth val="1"/>
          <c:extLst>
            <c:ext xmlns:c16="http://schemas.microsoft.com/office/drawing/2014/chart" uri="{C3380CC4-5D6E-409C-BE32-E72D297353CC}">
              <c16:uniqueId val="{00000004-23B8-471D-ADF5-46232D84B335}"/>
            </c:ext>
          </c:extLst>
        </c:ser>
        <c:ser>
          <c:idx val="5"/>
          <c:order val="5"/>
          <c:tx>
            <c:v>ACLR_H_2TX</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Sheet2!$O$13:$O$23</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xVal>
          <c:yVal>
            <c:numRef>
              <c:f>Sheet2!$T$13:$T$23</c:f>
              <c:numCache>
                <c:formatCode>General</c:formatCode>
                <c:ptCount val="11"/>
                <c:pt idx="0">
                  <c:v>-31.763999999999999</c:v>
                </c:pt>
                <c:pt idx="1">
                  <c:v>-30.218</c:v>
                </c:pt>
                <c:pt idx="2">
                  <c:v>-33.774999999999999</c:v>
                </c:pt>
                <c:pt idx="3">
                  <c:v>-35.790999999999997</c:v>
                </c:pt>
                <c:pt idx="4">
                  <c:v>-37.415999999999997</c:v>
                </c:pt>
                <c:pt idx="5">
                  <c:v>-38.262999999999998</c:v>
                </c:pt>
                <c:pt idx="6">
                  <c:v>-38.880000000000003</c:v>
                </c:pt>
                <c:pt idx="7">
                  <c:v>-39.072000000000003</c:v>
                </c:pt>
                <c:pt idx="8">
                  <c:v>-38.866</c:v>
                </c:pt>
                <c:pt idx="9">
                  <c:v>-37.895000000000003</c:v>
                </c:pt>
                <c:pt idx="10">
                  <c:v>-35.999000000000002</c:v>
                </c:pt>
              </c:numCache>
            </c:numRef>
          </c:yVal>
          <c:smooth val="1"/>
          <c:extLst>
            <c:ext xmlns:c16="http://schemas.microsoft.com/office/drawing/2014/chart" uri="{C3380CC4-5D6E-409C-BE32-E72D297353CC}">
              <c16:uniqueId val="{00000005-23B8-471D-ADF5-46232D84B335}"/>
            </c:ext>
          </c:extLst>
        </c:ser>
        <c:dLbls>
          <c:showLegendKey val="0"/>
          <c:showVal val="0"/>
          <c:showCatName val="0"/>
          <c:showSerName val="0"/>
          <c:showPercent val="0"/>
          <c:showBubbleSize val="0"/>
        </c:dLbls>
        <c:axId val="1231374376"/>
        <c:axId val="1231376672"/>
      </c:scatterChart>
      <c:valAx>
        <c:axId val="2100365856"/>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 Back-off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00368808"/>
        <c:crossesAt val="-10"/>
        <c:crossBetween val="midCat"/>
      </c:valAx>
      <c:valAx>
        <c:axId val="21003688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Pout (dBm/BW)</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00365856"/>
        <c:crossesAt val="-10"/>
        <c:crossBetween val="midCat"/>
      </c:valAx>
      <c:valAx>
        <c:axId val="1231376672"/>
        <c:scaling>
          <c:orientation val="minMax"/>
          <c:max val="-20"/>
        </c:scaling>
        <c:delete val="0"/>
        <c:axPos val="r"/>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ACLR (dBC)</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31374376"/>
        <c:crosses val="max"/>
        <c:crossBetween val="midCat"/>
      </c:valAx>
      <c:valAx>
        <c:axId val="1231374376"/>
        <c:scaling>
          <c:orientation val="minMax"/>
        </c:scaling>
        <c:delete val="1"/>
        <c:axPos val="b"/>
        <c:numFmt formatCode="General" sourceLinked="1"/>
        <c:majorTickMark val="out"/>
        <c:minorTickMark val="none"/>
        <c:tickLblPos val="nextTo"/>
        <c:crossAx val="1231376672"/>
        <c:crosses val="autoZero"/>
        <c:crossBetween val="midCat"/>
      </c:valAx>
      <c:spPr>
        <a:noFill/>
        <a:ln>
          <a:noFill/>
        </a:ln>
        <a:effectLst/>
      </c:spPr>
    </c:plotArea>
    <c:legend>
      <c:legendPos val="t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Pout &amp; SEM vs PA back-off</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v>Pout_1TX</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Sheet2!$O$1:$O$11</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xVal>
          <c:yVal>
            <c:numRef>
              <c:f>Sheet2!$P$1:$P$11</c:f>
              <c:numCache>
                <c:formatCode>General</c:formatCode>
                <c:ptCount val="11"/>
                <c:pt idx="0">
                  <c:v>13.840999999999999</c:v>
                </c:pt>
                <c:pt idx="1">
                  <c:v>14.840999999999999</c:v>
                </c:pt>
                <c:pt idx="2">
                  <c:v>15.85</c:v>
                </c:pt>
                <c:pt idx="3">
                  <c:v>16.885000000000002</c:v>
                </c:pt>
                <c:pt idx="4">
                  <c:v>17.811</c:v>
                </c:pt>
                <c:pt idx="5">
                  <c:v>18.798999999999999</c:v>
                </c:pt>
                <c:pt idx="6">
                  <c:v>19.837</c:v>
                </c:pt>
                <c:pt idx="7">
                  <c:v>20.771000000000001</c:v>
                </c:pt>
                <c:pt idx="8">
                  <c:v>21.738</c:v>
                </c:pt>
                <c:pt idx="9">
                  <c:v>22.683</c:v>
                </c:pt>
                <c:pt idx="10">
                  <c:v>23.693999999999999</c:v>
                </c:pt>
              </c:numCache>
            </c:numRef>
          </c:yVal>
          <c:smooth val="1"/>
          <c:extLst>
            <c:ext xmlns:c16="http://schemas.microsoft.com/office/drawing/2014/chart" uri="{C3380CC4-5D6E-409C-BE32-E72D297353CC}">
              <c16:uniqueId val="{00000000-24E0-48B5-BAC2-E1AB0A71D8B9}"/>
            </c:ext>
          </c:extLst>
        </c:ser>
        <c:ser>
          <c:idx val="1"/>
          <c:order val="1"/>
          <c:tx>
            <c:v>Pout_2TX</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Sheet2!$O$13:$O$23</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xVal>
          <c:yVal>
            <c:numRef>
              <c:f>Sheet2!$P$13:$P$23</c:f>
              <c:numCache>
                <c:formatCode>General</c:formatCode>
                <c:ptCount val="11"/>
                <c:pt idx="0">
                  <c:v>15.691000000000001</c:v>
                </c:pt>
                <c:pt idx="1">
                  <c:v>16.646999999999998</c:v>
                </c:pt>
                <c:pt idx="2">
                  <c:v>17.669</c:v>
                </c:pt>
                <c:pt idx="3">
                  <c:v>18.689</c:v>
                </c:pt>
                <c:pt idx="4">
                  <c:v>19.687000000000001</c:v>
                </c:pt>
                <c:pt idx="5">
                  <c:v>20.641999999999999</c:v>
                </c:pt>
                <c:pt idx="6">
                  <c:v>21.734000000000002</c:v>
                </c:pt>
                <c:pt idx="7">
                  <c:v>22.655999999999999</c:v>
                </c:pt>
                <c:pt idx="8">
                  <c:v>23.643999999999998</c:v>
                </c:pt>
                <c:pt idx="9">
                  <c:v>24.593</c:v>
                </c:pt>
                <c:pt idx="10">
                  <c:v>25.666</c:v>
                </c:pt>
              </c:numCache>
            </c:numRef>
          </c:yVal>
          <c:smooth val="1"/>
          <c:extLst>
            <c:ext xmlns:c16="http://schemas.microsoft.com/office/drawing/2014/chart" uri="{C3380CC4-5D6E-409C-BE32-E72D297353CC}">
              <c16:uniqueId val="{00000001-24E0-48B5-BAC2-E1AB0A71D8B9}"/>
            </c:ext>
          </c:extLst>
        </c:ser>
        <c:dLbls>
          <c:showLegendKey val="0"/>
          <c:showVal val="0"/>
          <c:showCatName val="0"/>
          <c:showSerName val="0"/>
          <c:showPercent val="0"/>
          <c:showBubbleSize val="0"/>
        </c:dLbls>
        <c:axId val="2100365856"/>
        <c:axId val="2100368808"/>
      </c:scatterChart>
      <c:scatterChart>
        <c:scatterStyle val="smoothMarker"/>
        <c:varyColors val="0"/>
        <c:ser>
          <c:idx val="2"/>
          <c:order val="2"/>
          <c:tx>
            <c:v>SEM_1TX</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Sheet2!$O$1:$O$11</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xVal>
          <c:yVal>
            <c:numRef>
              <c:f>Sheet2!$W$1:$W$11</c:f>
              <c:numCache>
                <c:formatCode>General</c:formatCode>
                <c:ptCount val="11"/>
                <c:pt idx="0">
                  <c:v>-31.49</c:v>
                </c:pt>
                <c:pt idx="1">
                  <c:v>-28.79</c:v>
                </c:pt>
                <c:pt idx="2">
                  <c:v>-31.622</c:v>
                </c:pt>
                <c:pt idx="3">
                  <c:v>-33.238</c:v>
                </c:pt>
                <c:pt idx="4">
                  <c:v>-33.975000000000001</c:v>
                </c:pt>
                <c:pt idx="5">
                  <c:v>-33.43</c:v>
                </c:pt>
                <c:pt idx="6">
                  <c:v>-32.79</c:v>
                </c:pt>
                <c:pt idx="7">
                  <c:v>-31.594000000000001</c:v>
                </c:pt>
                <c:pt idx="8">
                  <c:v>-29.931000000000001</c:v>
                </c:pt>
                <c:pt idx="9">
                  <c:v>-27.646999999999998</c:v>
                </c:pt>
                <c:pt idx="10">
                  <c:v>-24.559000000000001</c:v>
                </c:pt>
              </c:numCache>
            </c:numRef>
          </c:yVal>
          <c:smooth val="1"/>
          <c:extLst>
            <c:ext xmlns:c16="http://schemas.microsoft.com/office/drawing/2014/chart" uri="{C3380CC4-5D6E-409C-BE32-E72D297353CC}">
              <c16:uniqueId val="{00000002-24E0-48B5-BAC2-E1AB0A71D8B9}"/>
            </c:ext>
          </c:extLst>
        </c:ser>
        <c:ser>
          <c:idx val="3"/>
          <c:order val="3"/>
          <c:tx>
            <c:v>SEM_2TX</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Sheet2!$O$13:$O$23</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xVal>
          <c:yVal>
            <c:numRef>
              <c:f>Sheet2!$W$13:$W$23</c:f>
              <c:numCache>
                <c:formatCode>General</c:formatCode>
                <c:ptCount val="11"/>
                <c:pt idx="0">
                  <c:v>-30.09</c:v>
                </c:pt>
                <c:pt idx="1">
                  <c:v>-27.536999999999999</c:v>
                </c:pt>
                <c:pt idx="2">
                  <c:v>-30.085999999999999</c:v>
                </c:pt>
                <c:pt idx="3">
                  <c:v>-31.262</c:v>
                </c:pt>
                <c:pt idx="4">
                  <c:v>-32.061999999999998</c:v>
                </c:pt>
                <c:pt idx="5">
                  <c:v>-31.706</c:v>
                </c:pt>
                <c:pt idx="6">
                  <c:v>-30.917999999999999</c:v>
                </c:pt>
                <c:pt idx="7">
                  <c:v>-29.6</c:v>
                </c:pt>
                <c:pt idx="8">
                  <c:v>-27.817</c:v>
                </c:pt>
                <c:pt idx="9">
                  <c:v>-25.263999999999999</c:v>
                </c:pt>
                <c:pt idx="10">
                  <c:v>-22.321999999999999</c:v>
                </c:pt>
              </c:numCache>
            </c:numRef>
          </c:yVal>
          <c:smooth val="1"/>
          <c:extLst>
            <c:ext xmlns:c16="http://schemas.microsoft.com/office/drawing/2014/chart" uri="{C3380CC4-5D6E-409C-BE32-E72D297353CC}">
              <c16:uniqueId val="{00000003-24E0-48B5-BAC2-E1AB0A71D8B9}"/>
            </c:ext>
          </c:extLst>
        </c:ser>
        <c:dLbls>
          <c:showLegendKey val="0"/>
          <c:showVal val="0"/>
          <c:showCatName val="0"/>
          <c:showSerName val="0"/>
          <c:showPercent val="0"/>
          <c:showBubbleSize val="0"/>
        </c:dLbls>
        <c:axId val="1231374376"/>
        <c:axId val="1231376672"/>
      </c:scatterChart>
      <c:valAx>
        <c:axId val="2100365856"/>
        <c:scaling>
          <c:orientation val="minMax"/>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 Back-off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00368808"/>
        <c:crossesAt val="-10"/>
        <c:crossBetween val="midCat"/>
      </c:valAx>
      <c:valAx>
        <c:axId val="21003688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Pout (dBm/BW)</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00365856"/>
        <c:crossesAt val="-10"/>
        <c:crossBetween val="midCat"/>
      </c:valAx>
      <c:valAx>
        <c:axId val="1231376672"/>
        <c:scaling>
          <c:orientation val="minMax"/>
          <c:max val="-20"/>
        </c:scaling>
        <c:delete val="0"/>
        <c:axPos val="r"/>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SEM (dBm)</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31374376"/>
        <c:crosses val="max"/>
        <c:crossBetween val="midCat"/>
      </c:valAx>
      <c:valAx>
        <c:axId val="1231374376"/>
        <c:scaling>
          <c:orientation val="minMax"/>
        </c:scaling>
        <c:delete val="1"/>
        <c:axPos val="b"/>
        <c:numFmt formatCode="General" sourceLinked="1"/>
        <c:majorTickMark val="out"/>
        <c:minorTickMark val="none"/>
        <c:tickLblPos val="nextTo"/>
        <c:crossAx val="1231376672"/>
        <c:crosses val="autoZero"/>
        <c:crossBetween val="midCat"/>
      </c:valAx>
      <c:spPr>
        <a:noFill/>
        <a:ln>
          <a:noFill/>
        </a:ln>
        <a:effectLst/>
      </c:spPr>
    </c:plotArea>
    <c:legend>
      <c:legendPos val="t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55DA6-1BCF-49DE-BE28-DD51F64ADEB5}">
  <ds:schemaRefs>
    <ds:schemaRef ds:uri="http://schemas.microsoft.com/office/2006/documentManagement/types"/>
    <ds:schemaRef ds:uri="http://schemas.openxmlformats.org/package/2006/metadata/core-properties"/>
    <ds:schemaRef ds:uri="4b1de6fe-44aa-4e13-b7e7-ab260d1ea5f8"/>
    <ds:schemaRef ds:uri="http://purl.org/dc/elements/1.1/"/>
    <ds:schemaRef ds:uri="http://schemas.microsoft.com/office/2006/metadata/properties"/>
    <ds:schemaRef ds:uri="http://purl.org/dc/terms/"/>
    <ds:schemaRef ds:uri="http://schemas.microsoft.com/office/infopath/2007/PartnerControls"/>
    <ds:schemaRef ds:uri="bcc01d59-85de-4ef9-881e-76d8b6a6f841"/>
    <ds:schemaRef ds:uri="http://www.w3.org/XML/1998/namespace"/>
    <ds:schemaRef ds:uri="http://purl.org/dc/dcmitype/"/>
  </ds:schemaRefs>
</ds:datastoreItem>
</file>

<file path=customXml/itemProps2.xml><?xml version="1.0" encoding="utf-8"?>
<ds:datastoreItem xmlns:ds="http://schemas.openxmlformats.org/officeDocument/2006/customXml" ds:itemID="{FCC47032-E2AE-41C3-90AE-038FCE34D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F3285-61F6-4DAE-BA4B-D39E08392656}">
  <ds:schemaRefs>
    <ds:schemaRef ds:uri="http://schemas.microsoft.com/sharepoint/v3/contenttype/forms"/>
  </ds:schemaRefs>
</ds:datastoreItem>
</file>

<file path=customXml/itemProps4.xml><?xml version="1.0" encoding="utf-8"?>
<ds:datastoreItem xmlns:ds="http://schemas.openxmlformats.org/officeDocument/2006/customXml" ds:itemID="{E1A57DAA-8DBD-46BD-B95F-C5461345A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21</TotalTime>
  <Pages>5</Pages>
  <Words>2019</Words>
  <Characters>10213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Qualcomm_R4_92</cp:lastModifiedBy>
  <cp:revision>12</cp:revision>
  <cp:lastPrinted>2016-03-25T21:53:00Z</cp:lastPrinted>
  <dcterms:created xsi:type="dcterms:W3CDTF">2019-08-15T21:25:00Z</dcterms:created>
  <dcterms:modified xsi:type="dcterms:W3CDTF">2019-08-16T21:35:00Z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